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47625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75565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 1934</w:t>
      </w:r>
    </w:p>
    <w:p>
      <w:pPr>
        <w:spacing w:after="0" w:line="78"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001-38718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68580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Federal Life Group,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5" w:lineRule="exact"/>
        <w:rPr>
          <w:sz w:val="24"/>
          <w:szCs w:val="24"/>
          <w:color w:val="auto"/>
        </w:rPr>
      </w:pPr>
    </w:p>
    <w:tbl>
      <w:tblPr>
        <w:tblLayout w:type="fixed"/>
        <w:tblInd w:w="520" w:type="dxa"/>
        <w:tblCellMar>
          <w:top w:w="0" w:type="dxa"/>
          <w:left w:w="0" w:type="dxa"/>
          <w:bottom w:w="0" w:type="dxa"/>
          <w:right w:w="0" w:type="dxa"/>
        </w:tblCellMar>
      </w:tblPr>
      <w:tr>
        <w:trPr>
          <w:trHeight w:val="225"/>
        </w:trPr>
        <w:tc>
          <w:tcPr>
            <w:tcW w:w="3360" w:type="dxa"/>
            <w:vAlign w:val="bottom"/>
          </w:tcPr>
          <w:p>
            <w:pPr>
              <w:jc w:val="center"/>
              <w:ind w:left="1296"/>
              <w:spacing w:after="0"/>
              <w:rPr>
                <w:sz w:val="20"/>
                <w:szCs w:val="20"/>
                <w:color w:val="auto"/>
              </w:rPr>
            </w:pPr>
            <w:r>
              <w:rPr>
                <w:rFonts w:ascii="Arial" w:cs="Arial" w:eastAsia="Arial" w:hAnsi="Arial"/>
                <w:sz w:val="18"/>
                <w:szCs w:val="18"/>
                <w:b w:val="1"/>
                <w:bCs w:val="1"/>
                <w:color w:val="auto"/>
                <w:w w:val="88"/>
              </w:rPr>
              <w:t>Pennsylvania</w:t>
            </w:r>
          </w:p>
        </w:tc>
        <w:tc>
          <w:tcPr>
            <w:tcW w:w="7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20" w:type="dxa"/>
            <w:vAlign w:val="bottom"/>
          </w:tcPr>
          <w:p>
            <w:pPr>
              <w:jc w:val="center"/>
              <w:ind w:right="1157"/>
              <w:spacing w:after="0"/>
              <w:rPr>
                <w:sz w:val="20"/>
                <w:szCs w:val="20"/>
                <w:color w:val="auto"/>
              </w:rPr>
            </w:pPr>
            <w:r>
              <w:rPr>
                <w:rFonts w:ascii="Arial" w:cs="Arial" w:eastAsia="Arial" w:hAnsi="Arial"/>
                <w:sz w:val="18"/>
                <w:szCs w:val="18"/>
                <w:b w:val="1"/>
                <w:bCs w:val="1"/>
                <w:color w:val="auto"/>
                <w:w w:val="89"/>
              </w:rPr>
              <w:t>82-4944172</w:t>
            </w:r>
          </w:p>
        </w:tc>
      </w:tr>
      <w:tr>
        <w:trPr>
          <w:trHeight w:val="149"/>
        </w:trPr>
        <w:tc>
          <w:tcPr>
            <w:tcW w:w="3360" w:type="dxa"/>
            <w:vAlign w:val="bottom"/>
          </w:tcPr>
          <w:p>
            <w:pPr>
              <w:jc w:val="center"/>
              <w:ind w:left="1276"/>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7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20" w:type="dxa"/>
            <w:vAlign w:val="bottom"/>
          </w:tcPr>
          <w:p>
            <w:pPr>
              <w:jc w:val="center"/>
              <w:ind w:right="117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360" w:type="dxa"/>
            <w:vAlign w:val="bottom"/>
          </w:tcPr>
          <w:p>
            <w:pPr>
              <w:jc w:val="center"/>
              <w:ind w:left="1276"/>
              <w:spacing w:after="0"/>
              <w:rPr>
                <w:sz w:val="20"/>
                <w:szCs w:val="20"/>
                <w:color w:val="auto"/>
              </w:rPr>
            </w:pPr>
            <w:r>
              <w:rPr>
                <w:rFonts w:ascii="Arial" w:cs="Arial" w:eastAsia="Arial" w:hAnsi="Arial"/>
                <w:sz w:val="14"/>
                <w:szCs w:val="14"/>
                <w:b w:val="1"/>
                <w:bCs w:val="1"/>
                <w:color w:val="auto"/>
                <w:w w:val="94"/>
              </w:rPr>
              <w:t>incorporation or organization)</w:t>
            </w:r>
          </w:p>
        </w:tc>
        <w:tc>
          <w:tcPr>
            <w:tcW w:w="7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20" w:type="dxa"/>
            <w:vAlign w:val="bottom"/>
          </w:tcPr>
          <w:p>
            <w:pPr>
              <w:jc w:val="center"/>
              <w:ind w:right="1177"/>
              <w:spacing w:after="0"/>
              <w:rPr>
                <w:sz w:val="20"/>
                <w:szCs w:val="20"/>
                <w:color w:val="auto"/>
              </w:rPr>
            </w:pPr>
            <w:r>
              <w:rPr>
                <w:rFonts w:ascii="Arial" w:cs="Arial" w:eastAsia="Arial" w:hAnsi="Arial"/>
                <w:sz w:val="14"/>
                <w:szCs w:val="14"/>
                <w:b w:val="1"/>
                <w:bCs w:val="1"/>
                <w:color w:val="auto"/>
                <w:w w:val="94"/>
              </w:rPr>
              <w:t>Identification No.)</w:t>
            </w:r>
          </w:p>
        </w:tc>
      </w:tr>
      <w:tr>
        <w:trPr>
          <w:trHeight w:val="331"/>
        </w:trPr>
        <w:tc>
          <w:tcPr>
            <w:tcW w:w="3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0"/>
              </w:rPr>
              <w:t>3750 West Deerfield Road</w:t>
            </w:r>
          </w:p>
        </w:tc>
        <w:tc>
          <w:tcPr>
            <w:tcW w:w="3420" w:type="dxa"/>
            <w:vAlign w:val="bottom"/>
          </w:tcPr>
          <w:p>
            <w:pPr>
              <w:spacing w:after="0"/>
              <w:rPr>
                <w:sz w:val="24"/>
                <w:szCs w:val="24"/>
                <w:color w:val="auto"/>
              </w:rPr>
            </w:pPr>
          </w:p>
        </w:tc>
      </w:tr>
      <w:tr>
        <w:trPr>
          <w:trHeight w:val="212"/>
        </w:trPr>
        <w:tc>
          <w:tcPr>
            <w:tcW w:w="3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0"/>
              </w:rPr>
              <w:t>Riverwoods, Illinois 60015</w:t>
            </w:r>
          </w:p>
        </w:tc>
        <w:tc>
          <w:tcPr>
            <w:tcW w:w="3420" w:type="dxa"/>
            <w:vAlign w:val="bottom"/>
          </w:tcPr>
          <w:p>
            <w:pPr>
              <w:spacing w:after="0"/>
              <w:rPr>
                <w:sz w:val="18"/>
                <w:szCs w:val="18"/>
                <w:color w:val="auto"/>
              </w:rPr>
            </w:pPr>
          </w:p>
        </w:tc>
      </w:tr>
      <w:tr>
        <w:trPr>
          <w:trHeight w:val="186"/>
        </w:trPr>
        <w:tc>
          <w:tcPr>
            <w:tcW w:w="3360" w:type="dxa"/>
            <w:vAlign w:val="bottom"/>
          </w:tcPr>
          <w:p>
            <w:pPr>
              <w:spacing w:after="0"/>
              <w:rPr>
                <w:sz w:val="16"/>
                <w:szCs w:val="16"/>
                <w:color w:val="auto"/>
              </w:rPr>
            </w:pPr>
          </w:p>
        </w:tc>
        <w:tc>
          <w:tcPr>
            <w:tcW w:w="3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420" w:type="dxa"/>
            <w:vAlign w:val="bottom"/>
          </w:tcPr>
          <w:p>
            <w:pPr>
              <w:spacing w:after="0"/>
              <w:rPr>
                <w:sz w:val="16"/>
                <w:szCs w:val="16"/>
                <w:color w:val="auto"/>
              </w:rPr>
            </w:pPr>
          </w:p>
        </w:tc>
      </w:tr>
      <w:tr>
        <w:trPr>
          <w:trHeight w:val="259"/>
        </w:trPr>
        <w:tc>
          <w:tcPr>
            <w:tcW w:w="3360" w:type="dxa"/>
            <w:vAlign w:val="bottom"/>
          </w:tcPr>
          <w:p>
            <w:pPr>
              <w:spacing w:after="0"/>
              <w:rPr>
                <w:sz w:val="22"/>
                <w:szCs w:val="22"/>
                <w:color w:val="auto"/>
              </w:rPr>
            </w:pPr>
          </w:p>
        </w:tc>
        <w:tc>
          <w:tcPr>
            <w:tcW w:w="2980" w:type="dxa"/>
            <w:vAlign w:val="bottom"/>
            <w:gridSpan w:val="2"/>
          </w:tcPr>
          <w:p>
            <w:pPr>
              <w:jc w:val="center"/>
              <w:ind w:left="622"/>
              <w:spacing w:after="0"/>
              <w:rPr>
                <w:sz w:val="20"/>
                <w:szCs w:val="20"/>
                <w:color w:val="auto"/>
              </w:rPr>
            </w:pPr>
            <w:r>
              <w:rPr>
                <w:rFonts w:ascii="Arial" w:cs="Arial" w:eastAsia="Arial" w:hAnsi="Arial"/>
                <w:sz w:val="18"/>
                <w:szCs w:val="18"/>
                <w:b w:val="1"/>
                <w:bCs w:val="1"/>
                <w:color w:val="auto"/>
                <w:w w:val="90"/>
              </w:rPr>
              <w:t>(847) 520-1900</w:t>
            </w:r>
          </w:p>
        </w:tc>
        <w:tc>
          <w:tcPr>
            <w:tcW w:w="720" w:type="dxa"/>
            <w:vAlign w:val="bottom"/>
          </w:tcPr>
          <w:p>
            <w:pPr>
              <w:spacing w:after="0"/>
              <w:rPr>
                <w:sz w:val="22"/>
                <w:szCs w:val="22"/>
                <w:color w:val="auto"/>
              </w:rPr>
            </w:pPr>
          </w:p>
        </w:tc>
        <w:tc>
          <w:tcPr>
            <w:tcW w:w="3420" w:type="dxa"/>
            <w:vAlign w:val="bottom"/>
          </w:tcPr>
          <w:p>
            <w:pPr>
              <w:spacing w:after="0"/>
              <w:rPr>
                <w:sz w:val="22"/>
                <w:szCs w:val="22"/>
                <w:color w:val="auto"/>
              </w:rPr>
            </w:pPr>
          </w:p>
        </w:tc>
      </w:tr>
      <w:tr>
        <w:trPr>
          <w:trHeight w:val="186"/>
        </w:trPr>
        <w:tc>
          <w:tcPr>
            <w:tcW w:w="3360" w:type="dxa"/>
            <w:vAlign w:val="bottom"/>
          </w:tcPr>
          <w:p>
            <w:pPr>
              <w:spacing w:after="0"/>
              <w:rPr>
                <w:sz w:val="16"/>
                <w:szCs w:val="16"/>
                <w:color w:val="auto"/>
              </w:rPr>
            </w:pPr>
          </w:p>
        </w:tc>
        <w:tc>
          <w:tcPr>
            <w:tcW w:w="37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420" w:type="dxa"/>
            <w:vAlign w:val="bottom"/>
          </w:tcPr>
          <w:p>
            <w:pPr>
              <w:spacing w:after="0"/>
              <w:rPr>
                <w:sz w:val="16"/>
                <w:szCs w:val="16"/>
                <w:color w:val="auto"/>
              </w:rPr>
            </w:pPr>
          </w:p>
        </w:tc>
      </w:tr>
      <w:tr>
        <w:trPr>
          <w:trHeight w:val="66"/>
        </w:trPr>
        <w:tc>
          <w:tcPr>
            <w:tcW w:w="4060" w:type="dxa"/>
            <w:vAlign w:val="bottom"/>
            <w:gridSpan w:val="2"/>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720" w:type="dxa"/>
            <w:vAlign w:val="bottom"/>
          </w:tcPr>
          <w:p>
            <w:pPr>
              <w:spacing w:after="0"/>
              <w:rPr>
                <w:sz w:val="5"/>
                <w:szCs w:val="5"/>
                <w:color w:val="auto"/>
              </w:rPr>
            </w:pPr>
          </w:p>
        </w:tc>
        <w:tc>
          <w:tcPr>
            <w:tcW w:w="3420" w:type="dxa"/>
            <w:vAlign w:val="bottom"/>
          </w:tcPr>
          <w:p>
            <w:pPr>
              <w:spacing w:after="0"/>
              <w:rPr>
                <w:sz w:val="5"/>
                <w:szCs w:val="5"/>
                <w:color w:val="auto"/>
              </w:rPr>
            </w:pPr>
          </w:p>
        </w:tc>
      </w:tr>
      <w:tr>
        <w:trPr>
          <w:trHeight w:val="277"/>
        </w:trPr>
        <w:tc>
          <w:tcPr>
            <w:tcW w:w="706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420" w:type="dxa"/>
            <w:vAlign w:val="bottom"/>
          </w:tcPr>
          <w:p>
            <w:pPr>
              <w:spacing w:after="0"/>
              <w:rPr>
                <w:sz w:val="24"/>
                <w:szCs w:val="24"/>
                <w:color w:val="auto"/>
              </w:rPr>
            </w:pPr>
          </w:p>
        </w:tc>
      </w:tr>
      <w:tr>
        <w:trPr>
          <w:trHeight w:val="283"/>
        </w:trPr>
        <w:tc>
          <w:tcPr>
            <w:tcW w:w="3360" w:type="dxa"/>
            <w:vAlign w:val="bottom"/>
          </w:tcPr>
          <w:p>
            <w:pPr>
              <w:jc w:val="center"/>
              <w:ind w:right="496"/>
              <w:spacing w:after="0"/>
              <w:rPr>
                <w:sz w:val="20"/>
                <w:szCs w:val="20"/>
                <w:color w:val="auto"/>
              </w:rPr>
            </w:pPr>
            <w:r>
              <w:rPr>
                <w:rFonts w:ascii="Arial" w:cs="Arial" w:eastAsia="Arial" w:hAnsi="Arial"/>
                <w:sz w:val="18"/>
                <w:szCs w:val="18"/>
                <w:b w:val="1"/>
                <w:bCs w:val="1"/>
                <w:color w:val="auto"/>
                <w:w w:val="86"/>
              </w:rPr>
              <w:t>Title of each class</w:t>
            </w:r>
          </w:p>
        </w:tc>
        <w:tc>
          <w:tcPr>
            <w:tcW w:w="700" w:type="dxa"/>
            <w:vAlign w:val="bottom"/>
          </w:tcPr>
          <w:p>
            <w:pPr>
              <w:spacing w:after="0"/>
              <w:rPr>
                <w:sz w:val="24"/>
                <w:szCs w:val="24"/>
                <w:color w:val="auto"/>
              </w:rPr>
            </w:pPr>
          </w:p>
        </w:tc>
        <w:tc>
          <w:tcPr>
            <w:tcW w:w="300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89"/>
              </w:rPr>
              <w:t>Trading Symbol(s)</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360" w:type="dxa"/>
            <w:vAlign w:val="bottom"/>
          </w:tcPr>
          <w:p>
            <w:pPr>
              <w:jc w:val="center"/>
              <w:ind w:right="496"/>
              <w:spacing w:after="0"/>
              <w:rPr>
                <w:sz w:val="20"/>
                <w:szCs w:val="20"/>
                <w:color w:val="auto"/>
              </w:rPr>
            </w:pPr>
            <w:r>
              <w:rPr>
                <w:rFonts w:ascii="Arial" w:cs="Arial" w:eastAsia="Arial" w:hAnsi="Arial"/>
                <w:sz w:val="18"/>
                <w:szCs w:val="18"/>
                <w:color w:val="auto"/>
                <w:w w:val="90"/>
              </w:rPr>
              <w:t>Common stock, par value $.01</w:t>
            </w:r>
          </w:p>
        </w:tc>
        <w:tc>
          <w:tcPr>
            <w:tcW w:w="700" w:type="dxa"/>
            <w:vAlign w:val="bottom"/>
          </w:tcPr>
          <w:p>
            <w:pPr>
              <w:spacing w:after="0"/>
              <w:rPr>
                <w:sz w:val="20"/>
                <w:szCs w:val="20"/>
                <w:color w:val="auto"/>
              </w:rPr>
            </w:pPr>
          </w:p>
        </w:tc>
        <w:tc>
          <w:tcPr>
            <w:tcW w:w="3000" w:type="dxa"/>
            <w:vAlign w:val="bottom"/>
            <w:gridSpan w:val="2"/>
          </w:tcPr>
          <w:p>
            <w:pPr>
              <w:jc w:val="center"/>
              <w:ind w:right="1080"/>
              <w:spacing w:after="0"/>
              <w:rPr>
                <w:sz w:val="20"/>
                <w:szCs w:val="20"/>
                <w:color w:val="auto"/>
              </w:rPr>
            </w:pPr>
            <w:r>
              <w:rPr>
                <w:rFonts w:ascii="Arial" w:cs="Arial" w:eastAsia="Arial" w:hAnsi="Arial"/>
                <w:sz w:val="18"/>
                <w:szCs w:val="18"/>
                <w:color w:val="auto"/>
                <w:w w:val="95"/>
              </w:rPr>
              <w:t>FLFG</w:t>
            </w: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OTC Pink Open Market</w:t>
            </w:r>
          </w:p>
        </w:tc>
      </w:tr>
    </w:tbl>
    <w:p>
      <w:pPr>
        <w:spacing w:after="0" w:line="80" w:lineRule="exact"/>
        <w:rPr>
          <w:sz w:val="24"/>
          <w:szCs w:val="24"/>
          <w:color w:val="auto"/>
        </w:rPr>
      </w:pPr>
    </w:p>
    <w:p>
      <w:pPr>
        <w:jc w:val="both"/>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firstLine="518"/>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28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67" w:lineRule="exact"/>
        <w:rPr>
          <w:sz w:val="24"/>
          <w:szCs w:val="24"/>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ind w:left="226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29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ind w:left="226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47" w:lineRule="exact"/>
        <w:rPr>
          <w:sz w:val="24"/>
          <w:szCs w:val="24"/>
          <w:color w:val="auto"/>
        </w:rPr>
      </w:pPr>
    </w:p>
    <w:p>
      <w:pPr>
        <w:ind w:right="14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spacing w:after="0" w:line="207" w:lineRule="exact"/>
        <w:tabs>
          <w:tab w:leader="none" w:pos="8640" w:val="left"/>
          <w:tab w:leader="none" w:pos="93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5"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APPLICABLE TO CORPORATE ISSUERS:</w:t>
      </w:r>
    </w:p>
    <w:p>
      <w:pPr>
        <w:spacing w:after="0" w:line="94" w:lineRule="exact"/>
        <w:rPr>
          <w:sz w:val="24"/>
          <w:szCs w:val="24"/>
          <w:color w:val="auto"/>
        </w:rPr>
      </w:pPr>
    </w:p>
    <w:p>
      <w:pPr>
        <w:ind w:left="52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77" w:lineRule="exact"/>
        <w:rPr>
          <w:sz w:val="24"/>
          <w:szCs w:val="24"/>
          <w:color w:val="auto"/>
        </w:rPr>
      </w:pPr>
    </w:p>
    <w:p>
      <w:pPr>
        <w:ind w:left="520"/>
        <w:spacing w:after="0"/>
        <w:rPr>
          <w:sz w:val="20"/>
          <w:szCs w:val="20"/>
          <w:color w:val="auto"/>
        </w:rPr>
      </w:pPr>
      <w:r>
        <w:rPr>
          <w:rFonts w:ascii="Arial" w:cs="Arial" w:eastAsia="Arial" w:hAnsi="Arial"/>
          <w:sz w:val="18"/>
          <w:szCs w:val="18"/>
          <w:color w:val="auto"/>
        </w:rPr>
        <w:t>As of May 20, 2019, there were 3,530,250 shares of the registrant’s common stock, $.01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473710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40" w:type="dxa"/>
            <w:vAlign w:val="bottom"/>
            <w:gridSpan w:val="9"/>
          </w:tcPr>
          <w:p>
            <w:pPr>
              <w:ind w:left="220"/>
              <w:spacing w:after="0"/>
              <w:rPr>
                <w:sz w:val="20"/>
                <w:szCs w:val="20"/>
                <w:color w:val="auto"/>
              </w:rPr>
            </w:pPr>
            <w:r>
              <w:rPr>
                <w:rFonts w:ascii="Arial" w:cs="Arial" w:eastAsia="Arial" w:hAnsi="Arial"/>
                <w:sz w:val="18"/>
                <w:szCs w:val="18"/>
                <w:b w:val="1"/>
                <w:bCs w:val="1"/>
                <w:color w:val="auto"/>
              </w:rPr>
              <w:t>TABLE OF CONTENTS</w:t>
            </w:r>
          </w:p>
        </w:tc>
        <w:tc>
          <w:tcPr>
            <w:tcW w:w="1760" w:type="dxa"/>
            <w:vAlign w:val="bottom"/>
          </w:tcPr>
          <w:p>
            <w:pPr>
              <w:spacing w:after="0"/>
              <w:rPr>
                <w:sz w:val="20"/>
                <w:szCs w:val="20"/>
                <w:color w:val="auto"/>
              </w:rPr>
            </w:pPr>
          </w:p>
        </w:tc>
      </w:tr>
      <w:tr>
        <w:trPr>
          <w:trHeight w:val="567"/>
        </w:trPr>
        <w:tc>
          <w:tcPr>
            <w:tcW w:w="9680" w:type="dxa"/>
            <w:vAlign w:val="bottom"/>
            <w:gridSpan w:val="3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520" w:type="dxa"/>
            <w:vAlign w:val="bottom"/>
            <w:tcBorders>
              <w:top w:val="single" w:sz="8" w:color="0000EE"/>
            </w:tcBorders>
          </w:tcPr>
          <w:p>
            <w:pPr>
              <w:spacing w:after="0"/>
              <w:rPr>
                <w:sz w:val="18"/>
                <w:szCs w:val="18"/>
                <w:color w:val="auto"/>
              </w:rPr>
            </w:pPr>
          </w:p>
        </w:tc>
        <w:tc>
          <w:tcPr>
            <w:tcW w:w="26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6520" w:type="dxa"/>
            <w:vAlign w:val="bottom"/>
            <w:gridSpan w:val="18"/>
          </w:tcPr>
          <w:p>
            <w:pPr>
              <w:spacing w:after="0"/>
              <w:rPr>
                <w:sz w:val="18"/>
                <w:szCs w:val="18"/>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5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0" w:type="dxa"/>
            <w:vAlign w:val="bottom"/>
            <w:gridSpan w:val="3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0" w:type="dxa"/>
            <w:vAlign w:val="bottom"/>
            <w:gridSpan w:val="3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 OF OPERATIONS AND COMPREHENSIVE INCOME (LOSS)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10"/>
        </w:trPr>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10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CONSOLIDATED STATEMENT OF CHANGES IN STOCKHOLDERS’ EQUITY</w:t>
              </w:r>
            </w:hyperlink>
          </w:p>
        </w:tc>
        <w:tc>
          <w:tcPr>
            <w:tcW w:w="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0" w:type="dxa"/>
            <w:vAlign w:val="bottom"/>
            <w:gridSpan w:val="3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80" w:type="dxa"/>
            <w:vAlign w:val="bottom"/>
            <w:tcBorders>
              <w:bottom w:val="single" w:sz="8" w:color="0000EE"/>
            </w:tcBorders>
            <w:gridSpan w:val="25"/>
          </w:tcPr>
          <w:p>
            <w:pPr>
              <w:spacing w:after="0" w:line="196"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NOTES TO CONSOLIDATED FINANCIAL STATEMENTS</w:t>
              </w:r>
            </w:hyperlink>
          </w:p>
        </w:tc>
        <w:tc>
          <w:tcPr>
            <w:tcW w:w="4320" w:type="dxa"/>
            <w:vAlign w:val="bottom"/>
            <w:gridSpan w:val="5"/>
          </w:tcPr>
          <w:p>
            <w:pPr>
              <w:spacing w:after="0"/>
              <w:rPr>
                <w:sz w:val="18"/>
                <w:szCs w:val="18"/>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10"/>
        </w:trPr>
        <w:tc>
          <w:tcPr>
            <w:tcW w:w="1520" w:type="dxa"/>
            <w:vAlign w:val="bottom"/>
            <w:gridSpan w:val="5"/>
          </w:tcPr>
          <w:p>
            <w:pPr>
              <w:ind w:left="124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8160" w:type="dxa"/>
            <w:vAlign w:val="bottom"/>
            <w:gridSpan w:val="27"/>
          </w:tcPr>
          <w:p>
            <w:pPr>
              <w:ind w:left="6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Organization and Basis of Presentation</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0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1520" w:type="dxa"/>
            <w:vAlign w:val="bottom"/>
            <w:gridSpan w:val="5"/>
          </w:tcPr>
          <w:p>
            <w:pPr>
              <w:ind w:left="124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2.</w:t>
              </w:r>
            </w:hyperlink>
          </w:p>
        </w:tc>
        <w:tc>
          <w:tcPr>
            <w:tcW w:w="8160" w:type="dxa"/>
            <w:vAlign w:val="bottom"/>
            <w:gridSpan w:val="27"/>
          </w:tcPr>
          <w:p>
            <w:pPr>
              <w:ind w:left="6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Summary of Significant Accounting Policies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10"/>
        </w:trPr>
        <w:tc>
          <w:tcPr>
            <w:tcW w:w="1060" w:type="dxa"/>
            <w:vAlign w:val="bottom"/>
            <w:gridSpan w:val="3"/>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3.</w:t>
              </w:r>
            </w:hyperlink>
          </w:p>
        </w:tc>
        <w:tc>
          <w:tcPr>
            <w:tcW w:w="2700" w:type="dxa"/>
            <w:vAlign w:val="bottom"/>
            <w:tcBorders>
              <w:top w:val="single" w:sz="8" w:color="0000EE"/>
              <w:bottom w:val="single" w:sz="8" w:color="0000EE"/>
            </w:tcBorders>
            <w:gridSpan w:val="16"/>
          </w:tcPr>
          <w:p>
            <w:pPr>
              <w:ind w:left="60"/>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Recent Accounting Pronouncements</w:t>
              </w:r>
            </w:hyperlink>
          </w:p>
        </w:tc>
        <w:tc>
          <w:tcPr>
            <w:tcW w:w="320" w:type="dxa"/>
            <w:vAlign w:val="bottom"/>
            <w:tcBorders>
              <w:top w:val="single" w:sz="8" w:color="0000EE"/>
            </w:tcBorders>
            <w:gridSpan w:val="2"/>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2120" w:type="dxa"/>
            <w:vAlign w:val="bottom"/>
            <w:gridSpan w:val="2"/>
          </w:tcPr>
          <w:p>
            <w:pPr>
              <w:spacing w:after="0"/>
              <w:rPr>
                <w:sz w:val="18"/>
                <w:szCs w:val="18"/>
                <w:color w:val="auto"/>
              </w:rPr>
            </w:pPr>
          </w:p>
        </w:tc>
        <w:tc>
          <w:tcPr>
            <w:tcW w:w="2140" w:type="dxa"/>
            <w:vAlign w:val="bottom"/>
            <w:gridSpan w:val="2"/>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1520" w:type="dxa"/>
            <w:vAlign w:val="bottom"/>
            <w:gridSpan w:val="5"/>
          </w:tcPr>
          <w:p>
            <w:pPr>
              <w:ind w:left="1240"/>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4.</w:t>
              </w:r>
            </w:hyperlink>
          </w:p>
        </w:tc>
        <w:tc>
          <w:tcPr>
            <w:tcW w:w="8160" w:type="dxa"/>
            <w:vAlign w:val="bottom"/>
            <w:gridSpan w:val="27"/>
          </w:tcPr>
          <w:p>
            <w:pPr>
              <w:ind w:left="60"/>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Investments and Related Income</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0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1520" w:type="dxa"/>
            <w:vAlign w:val="bottom"/>
            <w:gridSpan w:val="5"/>
          </w:tcPr>
          <w:p>
            <w:pPr>
              <w:ind w:left="1240"/>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5.</w:t>
              </w:r>
            </w:hyperlink>
          </w:p>
        </w:tc>
        <w:tc>
          <w:tcPr>
            <w:tcW w:w="8160" w:type="dxa"/>
            <w:vAlign w:val="bottom"/>
            <w:gridSpan w:val="27"/>
          </w:tcPr>
          <w:p>
            <w:pPr>
              <w:ind w:left="60"/>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Derivative Instruments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0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1520" w:type="dxa"/>
            <w:vAlign w:val="bottom"/>
            <w:gridSpan w:val="5"/>
          </w:tcPr>
          <w:p>
            <w:pPr>
              <w:ind w:left="1240"/>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6.</w:t>
              </w:r>
            </w:hyperlink>
          </w:p>
        </w:tc>
        <w:tc>
          <w:tcPr>
            <w:tcW w:w="8160" w:type="dxa"/>
            <w:vAlign w:val="bottom"/>
            <w:gridSpan w:val="27"/>
          </w:tcPr>
          <w:p>
            <w:pPr>
              <w:ind w:left="60"/>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Fair Value of Financial Instruments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0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1520" w:type="dxa"/>
            <w:vAlign w:val="bottom"/>
            <w:gridSpan w:val="5"/>
          </w:tcPr>
          <w:p>
            <w:pPr>
              <w:ind w:left="1240"/>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7.</w:t>
              </w:r>
            </w:hyperlink>
          </w:p>
        </w:tc>
        <w:tc>
          <w:tcPr>
            <w:tcW w:w="8160" w:type="dxa"/>
            <w:vAlign w:val="bottom"/>
            <w:gridSpan w:val="27"/>
          </w:tcPr>
          <w:p>
            <w:pPr>
              <w:ind w:left="60"/>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Accumulated Other Comprehensive Income</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10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1520" w:type="dxa"/>
            <w:vAlign w:val="bottom"/>
            <w:gridSpan w:val="5"/>
          </w:tcPr>
          <w:p>
            <w:pPr>
              <w:ind w:left="1240"/>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8.</w:t>
              </w:r>
            </w:hyperlink>
          </w:p>
        </w:tc>
        <w:tc>
          <w:tcPr>
            <w:tcW w:w="8160" w:type="dxa"/>
            <w:vAlign w:val="bottom"/>
            <w:gridSpan w:val="27"/>
          </w:tcPr>
          <w:p>
            <w:pPr>
              <w:ind w:left="60"/>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Income Taxes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10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1520" w:type="dxa"/>
            <w:vAlign w:val="bottom"/>
            <w:gridSpan w:val="5"/>
          </w:tcPr>
          <w:p>
            <w:pPr>
              <w:ind w:left="124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9.</w:t>
              </w:r>
            </w:hyperlink>
          </w:p>
        </w:tc>
        <w:tc>
          <w:tcPr>
            <w:tcW w:w="8160" w:type="dxa"/>
            <w:vAlign w:val="bottom"/>
            <w:gridSpan w:val="27"/>
          </w:tcPr>
          <w:p>
            <w:pPr>
              <w:ind w:left="6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Commitments and Contingent Liabilities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0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1520" w:type="dxa"/>
            <w:vAlign w:val="bottom"/>
            <w:gridSpan w:val="5"/>
          </w:tcPr>
          <w:p>
            <w:pPr>
              <w:ind w:left="124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10.</w:t>
              </w:r>
            </w:hyperlink>
          </w:p>
        </w:tc>
        <w:tc>
          <w:tcPr>
            <w:tcW w:w="8160" w:type="dxa"/>
            <w:vAlign w:val="bottom"/>
            <w:gridSpan w:val="27"/>
          </w:tcPr>
          <w:p>
            <w:pPr>
              <w:ind w:left="6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Debt and Federal Home Loan Bank Advances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0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80" w:type="dxa"/>
            <w:vAlign w:val="bottom"/>
            <w:gridSpan w:val="9"/>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1520" w:type="dxa"/>
            <w:vAlign w:val="bottom"/>
            <w:gridSpan w:val="5"/>
          </w:tcPr>
          <w:p>
            <w:pPr>
              <w:ind w:left="124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11.</w:t>
              </w:r>
            </w:hyperlink>
          </w:p>
        </w:tc>
        <w:tc>
          <w:tcPr>
            <w:tcW w:w="8160" w:type="dxa"/>
            <w:vAlign w:val="bottom"/>
            <w:gridSpan w:val="27"/>
          </w:tcPr>
          <w:p>
            <w:pPr>
              <w:ind w:left="6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Related Party Transactions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0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00" w:type="dxa"/>
            <w:vAlign w:val="bottom"/>
            <w:gridSpan w:val="11"/>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1520" w:type="dxa"/>
            <w:vAlign w:val="bottom"/>
            <w:gridSpan w:val="5"/>
          </w:tcPr>
          <w:p>
            <w:pPr>
              <w:ind w:left="1240"/>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12.</w:t>
              </w:r>
            </w:hyperlink>
          </w:p>
        </w:tc>
        <w:tc>
          <w:tcPr>
            <w:tcW w:w="8160" w:type="dxa"/>
            <w:vAlign w:val="bottom"/>
            <w:gridSpan w:val="27"/>
          </w:tcPr>
          <w:p>
            <w:pPr>
              <w:ind w:left="60"/>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Earnings Per Share</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0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tcPr>
          <w:p>
            <w:pPr>
              <w:spacing w:after="0" w:line="20" w:lineRule="exact"/>
              <w:rPr>
                <w:sz w:val="1"/>
                <w:szCs w:val="1"/>
                <w:color w:val="auto"/>
              </w:rPr>
            </w:pPr>
          </w:p>
        </w:tc>
        <w:tc>
          <w:tcPr>
            <w:tcW w:w="2080" w:type="dxa"/>
            <w:vAlign w:val="bottom"/>
            <w:gridSpan w:val="1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1520" w:type="dxa"/>
            <w:vAlign w:val="bottom"/>
            <w:gridSpan w:val="5"/>
          </w:tcPr>
          <w:p>
            <w:pPr>
              <w:ind w:left="1240"/>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13.</w:t>
              </w:r>
            </w:hyperlink>
          </w:p>
        </w:tc>
        <w:tc>
          <w:tcPr>
            <w:tcW w:w="8160" w:type="dxa"/>
            <w:vAlign w:val="bottom"/>
            <w:gridSpan w:val="27"/>
          </w:tcPr>
          <w:p>
            <w:pPr>
              <w:ind w:left="60"/>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Subsequent Events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80" w:type="dxa"/>
            <w:vAlign w:val="bottom"/>
            <w:gridSpan w:val="1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702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Item 2. Management’s Discussion and Analysis of Financial Condition and Results of Operations</w:t>
              </w:r>
            </w:hyperlink>
          </w:p>
        </w:tc>
        <w:tc>
          <w:tcPr>
            <w:tcW w:w="2140" w:type="dxa"/>
            <w:vAlign w:val="bottom"/>
            <w:gridSpan w:val="2"/>
          </w:tcPr>
          <w:p>
            <w:pPr>
              <w:spacing w:after="0"/>
              <w:rPr>
                <w:sz w:val="18"/>
                <w:szCs w:val="18"/>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10"/>
        </w:trPr>
        <w:tc>
          <w:tcPr>
            <w:tcW w:w="520" w:type="dxa"/>
            <w:vAlign w:val="bottom"/>
          </w:tcPr>
          <w:p>
            <w:pPr>
              <w:spacing w:after="0"/>
              <w:rPr>
                <w:sz w:val="18"/>
                <w:szCs w:val="18"/>
                <w:color w:val="auto"/>
              </w:rPr>
            </w:pPr>
          </w:p>
        </w:tc>
        <w:tc>
          <w:tcPr>
            <w:tcW w:w="23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Item 4: Controls and Procedures</w:t>
              </w:r>
            </w:hyperlink>
          </w:p>
        </w:tc>
        <w:tc>
          <w:tcPr>
            <w:tcW w:w="6820" w:type="dxa"/>
            <w:vAlign w:val="bottom"/>
            <w:gridSpan w:val="20"/>
          </w:tcPr>
          <w:p>
            <w:pPr>
              <w:spacing w:after="0"/>
              <w:rPr>
                <w:sz w:val="18"/>
                <w:szCs w:val="18"/>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358"/>
        </w:trPr>
        <w:tc>
          <w:tcPr>
            <w:tcW w:w="9680" w:type="dxa"/>
            <w:vAlign w:val="bottom"/>
            <w:gridSpan w:val="32"/>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 OTHER INFORMATION</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0"/>
        </w:trPr>
        <w:tc>
          <w:tcPr>
            <w:tcW w:w="520" w:type="dxa"/>
            <w:vAlign w:val="bottom"/>
            <w:tcBorders>
              <w:top w:val="single" w:sz="8" w:color="0000EE"/>
            </w:tcBorders>
          </w:tcPr>
          <w:p>
            <w:pPr>
              <w:spacing w:after="0"/>
              <w:rPr>
                <w:sz w:val="18"/>
                <w:szCs w:val="18"/>
                <w:color w:val="auto"/>
              </w:rPr>
            </w:pPr>
          </w:p>
        </w:tc>
        <w:tc>
          <w:tcPr>
            <w:tcW w:w="19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Item 1. Legal Proceedings</w:t>
              </w:r>
            </w:hyperlink>
          </w:p>
        </w:tc>
        <w:tc>
          <w:tcPr>
            <w:tcW w:w="420" w:type="dxa"/>
            <w:vAlign w:val="bottom"/>
            <w:tcBorders>
              <w:top w:val="single" w:sz="8" w:color="0000EE"/>
            </w:tcBorders>
            <w:gridSpan w:val="2"/>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80" w:type="dxa"/>
            <w:vAlign w:val="bottom"/>
            <w:gridSpan w:val="4"/>
          </w:tcPr>
          <w:p>
            <w:pPr>
              <w:spacing w:after="0"/>
              <w:rPr>
                <w:sz w:val="18"/>
                <w:szCs w:val="18"/>
                <w:color w:val="auto"/>
              </w:rPr>
            </w:pPr>
          </w:p>
        </w:tc>
        <w:tc>
          <w:tcPr>
            <w:tcW w:w="2080" w:type="dxa"/>
            <w:vAlign w:val="bottom"/>
            <w:gridSpan w:val="12"/>
          </w:tcPr>
          <w:p>
            <w:pPr>
              <w:spacing w:after="0"/>
              <w:rPr>
                <w:sz w:val="18"/>
                <w:szCs w:val="18"/>
                <w:color w:val="auto"/>
              </w:rPr>
            </w:pPr>
          </w:p>
        </w:tc>
        <w:tc>
          <w:tcPr>
            <w:tcW w:w="4260" w:type="dxa"/>
            <w:vAlign w:val="bottom"/>
            <w:gridSpan w:val="4"/>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0"/>
        </w:trPr>
        <w:tc>
          <w:tcPr>
            <w:tcW w:w="520" w:type="dxa"/>
            <w:vAlign w:val="bottom"/>
          </w:tcPr>
          <w:p>
            <w:pPr>
              <w:spacing w:after="0"/>
              <w:rPr>
                <w:sz w:val="18"/>
                <w:szCs w:val="18"/>
                <w:color w:val="auto"/>
              </w:rPr>
            </w:pPr>
          </w:p>
        </w:tc>
        <w:tc>
          <w:tcPr>
            <w:tcW w:w="16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Item 1.A. Risk Factors</w:t>
              </w:r>
            </w:hyperlink>
          </w:p>
        </w:tc>
        <w:tc>
          <w:tcPr>
            <w:tcW w:w="7520" w:type="dxa"/>
            <w:vAlign w:val="bottom"/>
            <w:gridSpan w:val="25"/>
          </w:tcPr>
          <w:p>
            <w:pPr>
              <w:spacing w:after="0"/>
              <w:rPr>
                <w:sz w:val="18"/>
                <w:szCs w:val="18"/>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10"/>
        </w:trPr>
        <w:tc>
          <w:tcPr>
            <w:tcW w:w="520" w:type="dxa"/>
            <w:vAlign w:val="bottom"/>
          </w:tcPr>
          <w:p>
            <w:pPr>
              <w:spacing w:after="0"/>
              <w:rPr>
                <w:sz w:val="18"/>
                <w:szCs w:val="18"/>
                <w:color w:val="auto"/>
              </w:rPr>
            </w:pPr>
          </w:p>
        </w:tc>
        <w:tc>
          <w:tcPr>
            <w:tcW w:w="490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Item 2. Unregistered Sales of Equity Securities and Use of Proceeds</w:t>
              </w:r>
            </w:hyperlink>
          </w:p>
        </w:tc>
        <w:tc>
          <w:tcPr>
            <w:tcW w:w="4260" w:type="dxa"/>
            <w:vAlign w:val="bottom"/>
            <w:gridSpan w:val="4"/>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0"/>
        </w:trPr>
        <w:tc>
          <w:tcPr>
            <w:tcW w:w="520" w:type="dxa"/>
            <w:vAlign w:val="bottom"/>
          </w:tcPr>
          <w:p>
            <w:pPr>
              <w:spacing w:after="0"/>
              <w:rPr>
                <w:sz w:val="18"/>
                <w:szCs w:val="18"/>
                <w:color w:val="auto"/>
              </w:rPr>
            </w:pPr>
          </w:p>
        </w:tc>
        <w:tc>
          <w:tcPr>
            <w:tcW w:w="28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Item 3. Default Upon Senior Securities</w:t>
              </w:r>
            </w:hyperlink>
          </w:p>
        </w:tc>
        <w:tc>
          <w:tcPr>
            <w:tcW w:w="6340" w:type="dxa"/>
            <w:vAlign w:val="bottom"/>
            <w:gridSpan w:val="16"/>
          </w:tcPr>
          <w:p>
            <w:pPr>
              <w:spacing w:after="0"/>
              <w:rPr>
                <w:sz w:val="18"/>
                <w:szCs w:val="18"/>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10"/>
        </w:trPr>
        <w:tc>
          <w:tcPr>
            <w:tcW w:w="520" w:type="dxa"/>
            <w:vAlign w:val="bottom"/>
          </w:tcPr>
          <w:p>
            <w:pPr>
              <w:spacing w:after="0"/>
              <w:rPr>
                <w:sz w:val="18"/>
                <w:szCs w:val="18"/>
                <w:color w:val="auto"/>
              </w:rPr>
            </w:pPr>
          </w:p>
        </w:tc>
        <w:tc>
          <w:tcPr>
            <w:tcW w:w="9160" w:type="dxa"/>
            <w:vAlign w:val="bottom"/>
            <w:gridSpan w:val="3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4. Mine Safety Disclosures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10"/>
        </w:trPr>
        <w:tc>
          <w:tcPr>
            <w:tcW w:w="520" w:type="dxa"/>
            <w:vAlign w:val="bottom"/>
          </w:tcPr>
          <w:p>
            <w:pPr>
              <w:spacing w:after="0"/>
              <w:rPr>
                <w:sz w:val="18"/>
                <w:szCs w:val="18"/>
                <w:color w:val="auto"/>
              </w:rPr>
            </w:pPr>
          </w:p>
        </w:tc>
        <w:tc>
          <w:tcPr>
            <w:tcW w:w="18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Item 5. Other Information</w:t>
              </w:r>
            </w:hyperlink>
          </w:p>
        </w:tc>
        <w:tc>
          <w:tcPr>
            <w:tcW w:w="440" w:type="dxa"/>
            <w:vAlign w:val="bottom"/>
            <w:tcBorders>
              <w:top w:val="single" w:sz="8" w:color="0000EE"/>
            </w:tcBorders>
            <w:gridSpan w:val="3"/>
          </w:tcPr>
          <w:p>
            <w:pPr>
              <w:spacing w:after="0"/>
              <w:rPr>
                <w:sz w:val="18"/>
                <w:szCs w:val="18"/>
                <w:color w:val="auto"/>
              </w:rPr>
            </w:pPr>
          </w:p>
        </w:tc>
        <w:tc>
          <w:tcPr>
            <w:tcW w:w="6840" w:type="dxa"/>
            <w:vAlign w:val="bottom"/>
            <w:gridSpan w:val="21"/>
          </w:tcPr>
          <w:p>
            <w:pPr>
              <w:spacing w:after="0"/>
              <w:rPr>
                <w:sz w:val="18"/>
                <w:szCs w:val="18"/>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10"/>
        </w:trPr>
        <w:tc>
          <w:tcPr>
            <w:tcW w:w="520" w:type="dxa"/>
            <w:vAlign w:val="bottom"/>
          </w:tcPr>
          <w:p>
            <w:pPr>
              <w:spacing w:after="0"/>
              <w:rPr>
                <w:sz w:val="18"/>
                <w:szCs w:val="18"/>
                <w:color w:val="auto"/>
              </w:rPr>
            </w:pPr>
          </w:p>
        </w:tc>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Item 6. Exhibits</w:t>
              </w:r>
            </w:hyperlink>
          </w:p>
        </w:tc>
        <w:tc>
          <w:tcPr>
            <w:tcW w:w="8000" w:type="dxa"/>
            <w:vAlign w:val="bottom"/>
            <w:gridSpan w:val="26"/>
          </w:tcPr>
          <w:p>
            <w:pPr>
              <w:spacing w:after="0"/>
              <w:rPr>
                <w:sz w:val="18"/>
                <w:szCs w:val="18"/>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358"/>
        </w:trPr>
        <w:tc>
          <w:tcPr>
            <w:tcW w:w="1520" w:type="dxa"/>
            <w:vAlign w:val="bottom"/>
            <w:gridSpan w:val="5"/>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SIGNATURE</w:t>
              </w:r>
            </w:hyperlink>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1297"/>
        </w:trPr>
        <w:tc>
          <w:tcPr>
            <w:tcW w:w="52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LIFE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231"/>
              <w:spacing w:after="0"/>
              <w:rPr>
                <w:sz w:val="20"/>
                <w:szCs w:val="20"/>
                <w:color w:val="auto"/>
              </w:rPr>
            </w:pPr>
            <w:r>
              <w:rPr>
                <w:rFonts w:ascii="Arial" w:cs="Arial" w:eastAsia="Arial" w:hAnsi="Arial"/>
                <w:sz w:val="14"/>
                <w:szCs w:val="14"/>
                <w:b w:val="1"/>
                <w:bCs w:val="1"/>
                <w:color w:val="auto"/>
              </w:rPr>
              <w:t>March 31, 2019</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156"/>
        </w:trPr>
        <w:tc>
          <w:tcPr>
            <w:tcW w:w="6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Investments: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maturity securities available for sale, at fair value (amortized cost: 2019,</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$192,573; 2018, $187,035)</w:t>
            </w:r>
          </w:p>
        </w:tc>
        <w:tc>
          <w:tcPr>
            <w:tcW w:w="11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195,753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184,475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Equity securities, at fair value</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3,806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Policy loans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 invested assets</w:t>
            </w:r>
          </w:p>
        </w:tc>
        <w:tc>
          <w:tcPr>
            <w:tcW w:w="9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investments</w:t>
            </w:r>
          </w:p>
        </w:tc>
        <w:tc>
          <w:tcPr>
            <w:tcW w:w="9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209,583</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200,262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29,842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33,252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Real estate, property and equipment, net</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Accrued investment income</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2,069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Reinsurance recoverables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3,521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Prepaid reinsurance premiums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Deferred policy acquisition costs, net</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12,832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13,533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Deferred sales inducement costs, net</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Deferred tax asset, net</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Separate account asset</w:t>
            </w:r>
          </w:p>
        </w:tc>
        <w:tc>
          <w:tcPr>
            <w:tcW w:w="9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22,922</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9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286,879</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279,727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Policy liabilities and accruals: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Policyholder account balance</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117,995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116,298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Future life policy benefits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71,444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Future accident and health policy benefits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Reserve for deposit type contracts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Other policyholder funds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Unearned revenue</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Deferred reinsurance settlements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2,563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 net</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Other liabilities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1,513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Separate account liability</w:t>
            </w:r>
          </w:p>
        </w:tc>
        <w:tc>
          <w:tcPr>
            <w:tcW w:w="9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22,922</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Liabilities</w:t>
            </w:r>
          </w:p>
        </w:tc>
        <w:tc>
          <w:tcPr>
            <w:tcW w:w="9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229,715</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900" w:type="dxa"/>
            <w:vAlign w:val="bottom"/>
          </w:tcPr>
          <w:p>
            <w:pPr>
              <w:spacing w:after="0"/>
              <w:rPr>
                <w:sz w:val="20"/>
                <w:szCs w:val="20"/>
                <w:color w:val="auto"/>
              </w:rPr>
            </w:pPr>
            <w:r>
              <w:rPr>
                <w:rFonts w:ascii="Arial" w:cs="Arial" w:eastAsia="Arial" w:hAnsi="Arial"/>
                <w:sz w:val="18"/>
                <w:szCs w:val="18"/>
                <w:color w:val="auto"/>
              </w:rPr>
              <w:t>Common stock, par value $.01 per share, 4,010,250 shares authorized; issued and</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2019 - 3,530,250</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2018 - 3,530,150</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33,110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Retained earnings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22,796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21,774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income (loss)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Equity</w:t>
            </w:r>
          </w:p>
        </w:tc>
        <w:tc>
          <w:tcPr>
            <w:tcW w:w="9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57,164</w:t>
            </w:r>
          </w:p>
        </w:tc>
        <w:tc>
          <w:tcPr>
            <w:tcW w:w="2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Equity</w:t>
            </w:r>
          </w:p>
        </w:tc>
        <w:tc>
          <w:tcPr>
            <w:tcW w:w="9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286,879</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279,727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LIFE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 AND COMPREHENSIVE INCOME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Three Months Ended</w:t>
      </w:r>
    </w:p>
    <w:p>
      <w:pPr>
        <w:jc w:val="center"/>
        <w:ind w:left="74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6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center"/>
              <w:ind w:right="133"/>
              <w:spacing w:after="0" w:line="155"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center"/>
              <w:ind w:right="133"/>
              <w:spacing w:after="0" w:line="155"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Insurance revenues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2,120</w:t>
            </w:r>
          </w:p>
        </w:tc>
        <w:tc>
          <w:tcPr>
            <w:tcW w:w="30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2,744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investment income</w:t>
            </w: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2,201</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Net investment gains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4,921</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Benefits and expenses</w:t>
            </w: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Policyholder benefits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1,954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credit to policyholders</w:t>
            </w: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Operating costs and expenses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2,459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deferred acquisition and sales inducement costs</w:t>
            </w: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Taxes, licenses and fees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to policyholders</w:t>
            </w:r>
          </w:p>
        </w:tc>
        <w:tc>
          <w:tcPr>
            <w:tcW w:w="2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Benefits and Expenses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5,061</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Net loss before taxes</w:t>
            </w: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Tax expense (benefit)</w:t>
            </w:r>
          </w:p>
        </w:tc>
        <w:tc>
          <w:tcPr>
            <w:tcW w:w="200" w:type="dxa"/>
            <w:vAlign w:val="bottom"/>
          </w:tcPr>
          <w:p>
            <w:pPr>
              <w:spacing w:after="0"/>
              <w:rPr>
                <w:sz w:val="19"/>
                <w:szCs w:val="19"/>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holding gains (losses) arising during the period (net of tax)</w:t>
            </w: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(4,847)</w:t>
            </w: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Adjustment to deferred acquisition costs (net of tax)</w:t>
            </w:r>
          </w:p>
        </w:tc>
        <w:tc>
          <w:tcPr>
            <w:tcW w:w="200" w:type="dxa"/>
            <w:vAlign w:val="bottom"/>
          </w:tcPr>
          <w:p>
            <w:pPr>
              <w:spacing w:after="0"/>
              <w:rPr>
                <w:sz w:val="19"/>
                <w:szCs w:val="19"/>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(649)</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4,348</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Comprehensive Gain (Loss)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w:t>
            </w:r>
          </w:p>
        </w:tc>
        <w:tc>
          <w:tcPr>
            <w:tcW w:w="3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7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Three months</w:t>
            </w:r>
          </w:p>
        </w:tc>
        <w:tc>
          <w:tcPr>
            <w:tcW w:w="200" w:type="dxa"/>
            <w:vAlign w:val="bottom"/>
          </w:tcPr>
          <w:p>
            <w:pPr>
              <w:spacing w:after="0"/>
              <w:rPr>
                <w:sz w:val="24"/>
                <w:szCs w:val="2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Pro forma for the</w:t>
            </w:r>
          </w:p>
        </w:tc>
        <w:tc>
          <w:tcPr>
            <w:tcW w:w="0" w:type="dxa"/>
            <w:vAlign w:val="bottom"/>
          </w:tcPr>
          <w:p>
            <w:pPr>
              <w:spacing w:after="0"/>
              <w:rPr>
                <w:sz w:val="1"/>
                <w:szCs w:val="1"/>
                <w:color w:val="auto"/>
              </w:rPr>
            </w:pPr>
          </w:p>
        </w:tc>
      </w:tr>
      <w:tr>
        <w:trPr>
          <w:trHeight w:val="149"/>
        </w:trPr>
        <w:tc>
          <w:tcPr>
            <w:tcW w:w="7600" w:type="dxa"/>
            <w:vAlign w:val="bottom"/>
            <w:vMerge w:val="restart"/>
          </w:tcPr>
          <w:p>
            <w:pPr>
              <w:spacing w:after="0"/>
              <w:rPr>
                <w:sz w:val="20"/>
                <w:szCs w:val="20"/>
                <w:color w:val="auto"/>
              </w:rPr>
            </w:pPr>
            <w:r>
              <w:rPr>
                <w:rFonts w:ascii="Arial" w:cs="Arial" w:eastAsia="Arial" w:hAnsi="Arial"/>
                <w:sz w:val="14"/>
                <w:szCs w:val="14"/>
                <w:b w:val="1"/>
                <w:bCs w:val="1"/>
                <w:color w:val="auto"/>
              </w:rPr>
              <w:t>Earnings per common share for the periods (Note 12):</w:t>
            </w:r>
          </w:p>
        </w:tc>
        <w:tc>
          <w:tcPr>
            <w:tcW w:w="2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three months</w:t>
            </w:r>
          </w:p>
        </w:tc>
        <w:tc>
          <w:tcPr>
            <w:tcW w:w="0" w:type="dxa"/>
            <w:vAlign w:val="bottom"/>
          </w:tcPr>
          <w:p>
            <w:pPr>
              <w:spacing w:after="0"/>
              <w:rPr>
                <w:sz w:val="1"/>
                <w:szCs w:val="1"/>
                <w:color w:val="auto"/>
              </w:rPr>
            </w:pPr>
          </w:p>
        </w:tc>
      </w:tr>
      <w:tr>
        <w:trPr>
          <w:trHeight w:val="171"/>
        </w:trPr>
        <w:tc>
          <w:tcPr>
            <w:tcW w:w="7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ended March 31,</w:t>
            </w:r>
          </w:p>
        </w:tc>
        <w:tc>
          <w:tcPr>
            <w:tcW w:w="200" w:type="dxa"/>
            <w:vAlign w:val="bottom"/>
          </w:tcPr>
          <w:p>
            <w:pPr>
              <w:spacing w:after="0"/>
              <w:rPr>
                <w:sz w:val="14"/>
                <w:szCs w:val="1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ended March 31,</w:t>
            </w:r>
          </w:p>
        </w:tc>
        <w:tc>
          <w:tcPr>
            <w:tcW w:w="0" w:type="dxa"/>
            <w:vAlign w:val="bottom"/>
          </w:tcPr>
          <w:p>
            <w:pPr>
              <w:spacing w:after="0"/>
              <w:rPr>
                <w:sz w:val="1"/>
                <w:szCs w:val="1"/>
                <w:color w:val="auto"/>
              </w:rPr>
            </w:pPr>
          </w:p>
        </w:tc>
      </w:tr>
      <w:tr>
        <w:trPr>
          <w:trHeight w:val="156"/>
        </w:trPr>
        <w:tc>
          <w:tcPr>
            <w:tcW w:w="76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center"/>
              <w:ind w:right="133"/>
              <w:spacing w:after="0" w:line="155"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center"/>
              <w:ind w:right="133"/>
              <w:spacing w:after="0" w:line="155"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Basic loss per common share</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Diluted loss per common share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(0.04)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LIFE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16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1"/>
                <w:szCs w:val="11"/>
                <w:color w:val="auto"/>
              </w:rPr>
            </w:pPr>
          </w:p>
        </w:tc>
        <w:tc>
          <w:tcPr>
            <w:tcW w:w="12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1"/>
                <w:szCs w:val="11"/>
                <w:color w:val="auto"/>
              </w:rPr>
            </w:pPr>
          </w:p>
        </w:tc>
        <w:tc>
          <w:tcPr>
            <w:tcW w:w="11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3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Shares</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Paid-In</w:t>
            </w:r>
          </w:p>
        </w:tc>
        <w:tc>
          <w:tcPr>
            <w:tcW w:w="13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460" w:type="dxa"/>
            <w:vAlign w:val="bottom"/>
            <w:tcBorders>
              <w:top w:val="single" w:sz="8" w:color="auto"/>
            </w:tcBorders>
            <w:gridSpan w:val="5"/>
          </w:tcPr>
          <w:p>
            <w:pPr>
              <w:jc w:val="right"/>
              <w:ind w:right="7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Balance, December 31, 2017</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Net loss for the period</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comprehensive loss</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(4,265)</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23"/>
        </w:trPr>
        <w:tc>
          <w:tcPr>
            <w:tcW w:w="3660" w:type="dxa"/>
            <w:vAlign w:val="bottom"/>
            <w:gridSpan w:val="2"/>
          </w:tcPr>
          <w:p>
            <w:pPr>
              <w:spacing w:after="0"/>
              <w:rPr>
                <w:sz w:val="20"/>
                <w:szCs w:val="20"/>
                <w:color w:val="auto"/>
              </w:rPr>
            </w:pPr>
            <w:r>
              <w:rPr>
                <w:rFonts w:ascii="Arial" w:cs="Arial" w:eastAsia="Arial" w:hAnsi="Arial"/>
                <w:sz w:val="18"/>
                <w:szCs w:val="18"/>
                <w:color w:val="auto"/>
              </w:rPr>
              <w:t>Balance, March 31, 2018</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25,710</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Balance, December 31, 2018</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3,530,150</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(1,965)</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Net loss for the period</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Paid in capital</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Cumulative net effect of adoption of</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new accounting principle</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(1,160)</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comprehensive income</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gridSpan w:val="2"/>
          </w:tcPr>
          <w:p>
            <w:pPr>
              <w:spacing w:after="0"/>
              <w:rPr>
                <w:sz w:val="20"/>
                <w:szCs w:val="20"/>
                <w:color w:val="auto"/>
              </w:rPr>
            </w:pPr>
            <w:r>
              <w:rPr>
                <w:rFonts w:ascii="Arial" w:cs="Arial" w:eastAsia="Arial" w:hAnsi="Arial"/>
                <w:sz w:val="18"/>
                <w:szCs w:val="18"/>
                <w:color w:val="auto"/>
              </w:rPr>
              <w:t>Balance, March 31, 2019</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3,530,250</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35</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33,110</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22,796</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LIFE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Three Months Ended</w:t>
      </w:r>
    </w:p>
    <w:p>
      <w:pPr>
        <w:jc w:val="center"/>
        <w:ind w:left="74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8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50"/>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8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980" w:type="dxa"/>
            <w:vAlign w:val="bottom"/>
            <w:gridSpan w:val="2"/>
          </w:tcPr>
          <w:p>
            <w:pPr>
              <w:jc w:val="right"/>
              <w:ind w:right="96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(890)</w:t>
            </w: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80" w:type="dxa"/>
            <w:vAlign w:val="bottom"/>
          </w:tcPr>
          <w:p>
            <w:pPr>
              <w:ind w:left="380"/>
              <w:spacing w:after="0"/>
              <w:rPr>
                <w:sz w:val="20"/>
                <w:szCs w:val="20"/>
                <w:color w:val="auto"/>
              </w:rPr>
            </w:pPr>
            <w:r>
              <w:rPr>
                <w:rFonts w:ascii="Arial" w:cs="Arial" w:eastAsia="Arial" w:hAnsi="Arial"/>
                <w:sz w:val="18"/>
                <w:szCs w:val="18"/>
                <w:color w:val="auto"/>
              </w:rPr>
              <w:t>Investment gains, net</w:t>
            </w: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(574)</w:t>
            </w:r>
          </w:p>
        </w:tc>
        <w:tc>
          <w:tcPr>
            <w:tcW w:w="4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r>
      <w:tr>
        <w:trPr>
          <w:trHeight w:val="230"/>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on investments</w:t>
            </w:r>
          </w:p>
        </w:tc>
        <w:tc>
          <w:tcPr>
            <w:tcW w:w="8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r>
      <w:tr>
        <w:trPr>
          <w:trHeight w:val="230"/>
        </w:trPr>
        <w:tc>
          <w:tcPr>
            <w:tcW w:w="668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r>
      <w:tr>
        <w:trPr>
          <w:trHeight w:val="230"/>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w:t>
            </w:r>
          </w:p>
        </w:tc>
        <w:tc>
          <w:tcPr>
            <w:tcW w:w="8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680" w:type="dxa"/>
            <w:vAlign w:val="bottom"/>
          </w:tcPr>
          <w:p>
            <w:pPr>
              <w:ind w:left="380"/>
              <w:spacing w:after="0"/>
              <w:rPr>
                <w:sz w:val="20"/>
                <w:szCs w:val="20"/>
                <w:color w:val="auto"/>
              </w:rPr>
            </w:pPr>
            <w:r>
              <w:rPr>
                <w:rFonts w:ascii="Arial" w:cs="Arial" w:eastAsia="Arial" w:hAnsi="Arial"/>
                <w:sz w:val="18"/>
                <w:szCs w:val="18"/>
                <w:color w:val="auto"/>
              </w:rPr>
              <w:t>Deferred insurance acquisition costs</w:t>
            </w: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(482)</w:t>
            </w:r>
          </w:p>
        </w:tc>
        <w:tc>
          <w:tcPr>
            <w:tcW w:w="4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(506)</w:t>
            </w:r>
          </w:p>
        </w:tc>
      </w:tr>
      <w:tr>
        <w:trPr>
          <w:trHeight w:val="230"/>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sales inducement costs</w:t>
            </w:r>
          </w:p>
        </w:tc>
        <w:tc>
          <w:tcPr>
            <w:tcW w:w="8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(76)</w:t>
            </w:r>
          </w:p>
        </w:tc>
        <w:tc>
          <w:tcPr>
            <w:tcW w:w="4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w:t>
            </w:r>
          </w:p>
        </w:tc>
      </w:tr>
      <w:tr>
        <w:trPr>
          <w:trHeight w:val="230"/>
        </w:trPr>
        <w:tc>
          <w:tcPr>
            <w:tcW w:w="6680" w:type="dxa"/>
            <w:vAlign w:val="bottom"/>
          </w:tcPr>
          <w:p>
            <w:pPr>
              <w:ind w:left="380"/>
              <w:spacing w:after="0"/>
              <w:rPr>
                <w:sz w:val="20"/>
                <w:szCs w:val="20"/>
                <w:color w:val="auto"/>
              </w:rPr>
            </w:pPr>
            <w:r>
              <w:rPr>
                <w:rFonts w:ascii="Arial" w:cs="Arial" w:eastAsia="Arial" w:hAnsi="Arial"/>
                <w:sz w:val="18"/>
                <w:szCs w:val="18"/>
                <w:color w:val="auto"/>
              </w:rPr>
              <w:t>Interest and amortization of deferred acquisition and sales inducement costs</w:t>
            </w: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371</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r>
      <w:tr>
        <w:trPr>
          <w:trHeight w:val="230"/>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 in value of derivatives and other</w:t>
            </w:r>
          </w:p>
        </w:tc>
        <w:tc>
          <w:tcPr>
            <w:tcW w:w="8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(314)</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spacing w:after="0"/>
              <w:rPr>
                <w:sz w:val="19"/>
                <w:szCs w:val="19"/>
                <w:color w:val="auto"/>
              </w:rPr>
            </w:pPr>
          </w:p>
        </w:tc>
      </w:tr>
      <w:tr>
        <w:trPr>
          <w:trHeight w:val="230"/>
        </w:trPr>
        <w:tc>
          <w:tcPr>
            <w:tcW w:w="6680" w:type="dxa"/>
            <w:vAlign w:val="bottom"/>
          </w:tcPr>
          <w:p>
            <w:pPr>
              <w:ind w:left="380"/>
              <w:spacing w:after="0"/>
              <w:rPr>
                <w:sz w:val="20"/>
                <w:szCs w:val="20"/>
                <w:color w:val="auto"/>
              </w:rPr>
            </w:pPr>
            <w:r>
              <w:rPr>
                <w:rFonts w:ascii="Arial" w:cs="Arial" w:eastAsia="Arial" w:hAnsi="Arial"/>
                <w:sz w:val="18"/>
                <w:szCs w:val="18"/>
                <w:color w:val="auto"/>
              </w:rPr>
              <w:t>Change in accrued investment income</w:t>
            </w: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(162)</w:t>
            </w:r>
          </w:p>
        </w:tc>
        <w:tc>
          <w:tcPr>
            <w:tcW w:w="4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30"/>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 in receivables</w:t>
            </w:r>
          </w:p>
        </w:tc>
        <w:tc>
          <w:tcPr>
            <w:tcW w:w="8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(654)</w:t>
            </w:r>
          </w:p>
        </w:tc>
      </w:tr>
      <w:tr>
        <w:trPr>
          <w:trHeight w:val="230"/>
        </w:trPr>
        <w:tc>
          <w:tcPr>
            <w:tcW w:w="6680" w:type="dxa"/>
            <w:vAlign w:val="bottom"/>
          </w:tcPr>
          <w:p>
            <w:pPr>
              <w:ind w:left="380"/>
              <w:spacing w:after="0"/>
              <w:rPr>
                <w:sz w:val="20"/>
                <w:szCs w:val="20"/>
                <w:color w:val="auto"/>
              </w:rPr>
            </w:pPr>
            <w:r>
              <w:rPr>
                <w:rFonts w:ascii="Arial" w:cs="Arial" w:eastAsia="Arial" w:hAnsi="Arial"/>
                <w:sz w:val="18"/>
                <w:szCs w:val="18"/>
                <w:color w:val="auto"/>
              </w:rPr>
              <w:t>Change in reinsurance recoverable</w:t>
            </w: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r>
      <w:tr>
        <w:trPr>
          <w:trHeight w:val="230"/>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 in prepaid reinsurance premiums</w:t>
            </w:r>
          </w:p>
        </w:tc>
        <w:tc>
          <w:tcPr>
            <w:tcW w:w="8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(49)</w:t>
            </w:r>
          </w:p>
        </w:tc>
        <w:tc>
          <w:tcPr>
            <w:tcW w:w="4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w:t>
            </w:r>
          </w:p>
        </w:tc>
      </w:tr>
      <w:tr>
        <w:trPr>
          <w:trHeight w:val="230"/>
        </w:trPr>
        <w:tc>
          <w:tcPr>
            <w:tcW w:w="6680" w:type="dxa"/>
            <w:vAlign w:val="bottom"/>
          </w:tcPr>
          <w:p>
            <w:pPr>
              <w:ind w:left="380"/>
              <w:spacing w:after="0"/>
              <w:rPr>
                <w:sz w:val="20"/>
                <w:szCs w:val="20"/>
                <w:color w:val="auto"/>
              </w:rPr>
            </w:pPr>
            <w:r>
              <w:rPr>
                <w:rFonts w:ascii="Arial" w:cs="Arial" w:eastAsia="Arial" w:hAnsi="Arial"/>
                <w:sz w:val="18"/>
                <w:szCs w:val="18"/>
                <w:color w:val="auto"/>
              </w:rPr>
              <w:t>Change in policy benefits</w:t>
            </w: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(937)</w:t>
            </w:r>
          </w:p>
        </w:tc>
        <w:tc>
          <w:tcPr>
            <w:tcW w:w="4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r>
      <w:tr>
        <w:trPr>
          <w:trHeight w:val="230"/>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 in unearned revenue</w:t>
            </w:r>
          </w:p>
        </w:tc>
        <w:tc>
          <w:tcPr>
            <w:tcW w:w="8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w:t>
            </w:r>
          </w:p>
        </w:tc>
        <w:tc>
          <w:tcPr>
            <w:tcW w:w="4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w:t>
            </w:r>
          </w:p>
        </w:tc>
      </w:tr>
      <w:tr>
        <w:trPr>
          <w:trHeight w:val="230"/>
        </w:trPr>
        <w:tc>
          <w:tcPr>
            <w:tcW w:w="6680" w:type="dxa"/>
            <w:vAlign w:val="bottom"/>
          </w:tcPr>
          <w:p>
            <w:pPr>
              <w:ind w:left="380"/>
              <w:spacing w:after="0"/>
              <w:rPr>
                <w:sz w:val="20"/>
                <w:szCs w:val="20"/>
                <w:color w:val="auto"/>
              </w:rPr>
            </w:pPr>
            <w:r>
              <w:rPr>
                <w:rFonts w:ascii="Arial" w:cs="Arial" w:eastAsia="Arial" w:hAnsi="Arial"/>
                <w:sz w:val="18"/>
                <w:szCs w:val="18"/>
                <w:color w:val="auto"/>
              </w:rPr>
              <w:t>Change in deferred reinsurance settlements</w:t>
            </w: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4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r>
      <w:tr>
        <w:trPr>
          <w:trHeight w:val="230"/>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 in other</w:t>
            </w:r>
          </w:p>
        </w:tc>
        <w:tc>
          <w:tcPr>
            <w:tcW w:w="8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(57)</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r>
      <w:tr>
        <w:trPr>
          <w:trHeight w:val="223"/>
        </w:trPr>
        <w:tc>
          <w:tcPr>
            <w:tcW w:w="6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operating activities</w:t>
            </w:r>
          </w:p>
        </w:tc>
        <w:tc>
          <w:tcPr>
            <w:tcW w:w="86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(2,333)</w:t>
            </w:r>
          </w:p>
        </w:tc>
        <w:tc>
          <w:tcPr>
            <w:tcW w:w="28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(1,925)</w:t>
            </w:r>
          </w:p>
        </w:tc>
        <w:tc>
          <w:tcPr>
            <w:tcW w:w="100" w:type="dxa"/>
            <w:vAlign w:val="bottom"/>
            <w:tcBorders>
              <w:bottom w:val="single" w:sz="8" w:color="CFF0FC"/>
            </w:tcBorders>
          </w:tcPr>
          <w:p>
            <w:pPr>
              <w:spacing w:after="0"/>
              <w:rPr>
                <w:sz w:val="19"/>
                <w:szCs w:val="19"/>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8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Proceeds from investments sold or matured:</w:t>
            </w: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Fixed maturity securities</w:t>
            </w:r>
          </w:p>
        </w:tc>
        <w:tc>
          <w:tcPr>
            <w:tcW w:w="8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3,768</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5,614</w:t>
            </w:r>
          </w:p>
        </w:tc>
        <w:tc>
          <w:tcPr>
            <w:tcW w:w="100" w:type="dxa"/>
            <w:vAlign w:val="bottom"/>
            <w:shd w:val="clear" w:color="auto" w:fill="CFF0FC"/>
          </w:tcPr>
          <w:p>
            <w:pPr>
              <w:spacing w:after="0"/>
              <w:rPr>
                <w:sz w:val="19"/>
                <w:szCs w:val="19"/>
                <w:color w:val="auto"/>
              </w:rPr>
            </w:pPr>
          </w:p>
        </w:tc>
      </w:tr>
      <w:tr>
        <w:trPr>
          <w:trHeight w:val="230"/>
        </w:trPr>
        <w:tc>
          <w:tcPr>
            <w:tcW w:w="6680" w:type="dxa"/>
            <w:vAlign w:val="bottom"/>
          </w:tcPr>
          <w:p>
            <w:pPr>
              <w:ind w:left="380"/>
              <w:spacing w:after="0"/>
              <w:rPr>
                <w:sz w:val="20"/>
                <w:szCs w:val="20"/>
                <w:color w:val="auto"/>
              </w:rPr>
            </w:pPr>
            <w:r>
              <w:rPr>
                <w:rFonts w:ascii="Arial" w:cs="Arial" w:eastAsia="Arial" w:hAnsi="Arial"/>
                <w:sz w:val="18"/>
                <w:szCs w:val="18"/>
                <w:color w:val="auto"/>
              </w:rPr>
              <w:t>Equity securities</w:t>
            </w: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2,827</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Derivatives</w:t>
            </w:r>
          </w:p>
        </w:tc>
        <w:tc>
          <w:tcPr>
            <w:tcW w:w="8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19"/>
                <w:szCs w:val="19"/>
                <w:color w:val="auto"/>
              </w:rPr>
            </w:pPr>
          </w:p>
        </w:tc>
      </w:tr>
      <w:tr>
        <w:trPr>
          <w:trHeight w:val="230"/>
        </w:trPr>
        <w:tc>
          <w:tcPr>
            <w:tcW w:w="6680" w:type="dxa"/>
            <w:vAlign w:val="bottom"/>
          </w:tcPr>
          <w:p>
            <w:pPr>
              <w:ind w:left="380"/>
              <w:spacing w:after="0"/>
              <w:rPr>
                <w:sz w:val="20"/>
                <w:szCs w:val="20"/>
                <w:color w:val="auto"/>
              </w:rPr>
            </w:pPr>
            <w:r>
              <w:rPr>
                <w:rFonts w:ascii="Arial" w:cs="Arial" w:eastAsia="Arial" w:hAnsi="Arial"/>
                <w:sz w:val="18"/>
                <w:szCs w:val="18"/>
                <w:color w:val="auto"/>
              </w:rPr>
              <w:t>Policy loans</w:t>
            </w: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of investments purchased:</w:t>
            </w:r>
          </w:p>
        </w:tc>
        <w:tc>
          <w:tcPr>
            <w:tcW w:w="8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80" w:type="dxa"/>
            <w:vAlign w:val="bottom"/>
          </w:tcPr>
          <w:p>
            <w:pPr>
              <w:ind w:left="380"/>
              <w:spacing w:after="0"/>
              <w:rPr>
                <w:sz w:val="20"/>
                <w:szCs w:val="20"/>
                <w:color w:val="auto"/>
              </w:rPr>
            </w:pPr>
            <w:r>
              <w:rPr>
                <w:rFonts w:ascii="Arial" w:cs="Arial" w:eastAsia="Arial" w:hAnsi="Arial"/>
                <w:sz w:val="18"/>
                <w:szCs w:val="18"/>
                <w:color w:val="auto"/>
              </w:rPr>
              <w:t>Fixed maturity securities</w:t>
            </w: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(9,286)</w:t>
            </w:r>
          </w:p>
        </w:tc>
        <w:tc>
          <w:tcPr>
            <w:tcW w:w="4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(6,093)</w:t>
            </w:r>
          </w:p>
        </w:tc>
      </w:tr>
      <w:tr>
        <w:trPr>
          <w:trHeight w:val="230"/>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Equity securities</w:t>
            </w:r>
          </w:p>
        </w:tc>
        <w:tc>
          <w:tcPr>
            <w:tcW w:w="8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(35)</w:t>
            </w:r>
          </w:p>
        </w:tc>
        <w:tc>
          <w:tcPr>
            <w:tcW w:w="4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680" w:type="dxa"/>
            <w:vAlign w:val="bottom"/>
          </w:tcPr>
          <w:p>
            <w:pPr>
              <w:ind w:left="380"/>
              <w:spacing w:after="0"/>
              <w:rPr>
                <w:sz w:val="20"/>
                <w:szCs w:val="20"/>
                <w:color w:val="auto"/>
              </w:rPr>
            </w:pPr>
            <w:r>
              <w:rPr>
                <w:rFonts w:ascii="Arial" w:cs="Arial" w:eastAsia="Arial" w:hAnsi="Arial"/>
                <w:sz w:val="18"/>
                <w:szCs w:val="18"/>
                <w:color w:val="auto"/>
              </w:rPr>
              <w:t>Derivatives</w:t>
            </w: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4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r>
      <w:tr>
        <w:trPr>
          <w:trHeight w:val="230"/>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Real estate additions</w:t>
            </w:r>
          </w:p>
        </w:tc>
        <w:tc>
          <w:tcPr>
            <w:tcW w:w="8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r>
      <w:tr>
        <w:trPr>
          <w:trHeight w:val="230"/>
        </w:trPr>
        <w:tc>
          <w:tcPr>
            <w:tcW w:w="6680" w:type="dxa"/>
            <w:vAlign w:val="bottom"/>
          </w:tcPr>
          <w:p>
            <w:pPr>
              <w:ind w:left="380"/>
              <w:spacing w:after="0"/>
              <w:rPr>
                <w:sz w:val="20"/>
                <w:szCs w:val="20"/>
                <w:color w:val="auto"/>
              </w:rPr>
            </w:pPr>
            <w:r>
              <w:rPr>
                <w:rFonts w:ascii="Arial" w:cs="Arial" w:eastAsia="Arial" w:hAnsi="Arial"/>
                <w:sz w:val="18"/>
                <w:szCs w:val="18"/>
                <w:color w:val="auto"/>
              </w:rPr>
              <w:t>Purchase of property and equipment</w:t>
            </w: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23"/>
        </w:trPr>
        <w:tc>
          <w:tcPr>
            <w:tcW w:w="66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(2,692)</w:t>
            </w:r>
          </w:p>
        </w:tc>
        <w:tc>
          <w:tcPr>
            <w:tcW w:w="2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Policyholder account balances:</w:t>
            </w:r>
          </w:p>
        </w:tc>
        <w:tc>
          <w:tcPr>
            <w:tcW w:w="8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80" w:type="dxa"/>
            <w:vAlign w:val="bottom"/>
          </w:tcPr>
          <w:p>
            <w:pPr>
              <w:ind w:left="380"/>
              <w:spacing w:after="0"/>
              <w:rPr>
                <w:sz w:val="20"/>
                <w:szCs w:val="20"/>
                <w:color w:val="auto"/>
              </w:rPr>
            </w:pPr>
            <w:r>
              <w:rPr>
                <w:rFonts w:ascii="Arial" w:cs="Arial" w:eastAsia="Arial" w:hAnsi="Arial"/>
                <w:sz w:val="18"/>
                <w:szCs w:val="18"/>
                <w:color w:val="auto"/>
              </w:rPr>
              <w:t>Deposits</w:t>
            </w: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3,321</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4,459</w:t>
            </w:r>
          </w:p>
        </w:tc>
        <w:tc>
          <w:tcPr>
            <w:tcW w:w="100" w:type="dxa"/>
            <w:vAlign w:val="bottom"/>
          </w:tcPr>
          <w:p>
            <w:pPr>
              <w:spacing w:after="0"/>
              <w:rPr>
                <w:sz w:val="19"/>
                <w:szCs w:val="19"/>
                <w:color w:val="auto"/>
              </w:rPr>
            </w:pPr>
          </w:p>
        </w:tc>
      </w:tr>
      <w:tr>
        <w:trPr>
          <w:trHeight w:val="230"/>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Withdrawals</w:t>
            </w:r>
          </w:p>
        </w:tc>
        <w:tc>
          <w:tcPr>
            <w:tcW w:w="8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(1,707)</w:t>
            </w:r>
          </w:p>
        </w:tc>
        <w:tc>
          <w:tcPr>
            <w:tcW w:w="4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(2,417)</w:t>
            </w: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Net proceeds received from issuance of shares of common stock</w:t>
            </w: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r>
      <w:tr>
        <w:trPr>
          <w:trHeight w:val="223"/>
        </w:trPr>
        <w:tc>
          <w:tcPr>
            <w:tcW w:w="66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86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2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Net decrease in cash</w:t>
            </w: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(3,410)</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Cash, beginning of period</w:t>
            </w:r>
          </w:p>
        </w:tc>
        <w:tc>
          <w:tcPr>
            <w:tcW w:w="86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33,252</w:t>
            </w:r>
          </w:p>
        </w:tc>
        <w:tc>
          <w:tcPr>
            <w:tcW w:w="2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4,085</w:t>
            </w:r>
          </w:p>
        </w:tc>
        <w:tc>
          <w:tcPr>
            <w:tcW w:w="100" w:type="dxa"/>
            <w:vAlign w:val="bottom"/>
            <w:shd w:val="clear" w:color="auto" w:fill="CFF0FC"/>
          </w:tcPr>
          <w:p>
            <w:pPr>
              <w:spacing w:after="0"/>
              <w:rPr>
                <w:sz w:val="19"/>
                <w:szCs w:val="19"/>
                <w:color w:val="auto"/>
              </w:rPr>
            </w:pPr>
          </w:p>
        </w:tc>
      </w:tr>
      <w:tr>
        <w:trPr>
          <w:trHeight w:val="263"/>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end of period</w:t>
            </w:r>
          </w:p>
        </w:tc>
        <w:tc>
          <w:tcPr>
            <w:tcW w:w="860" w:type="dxa"/>
            <w:vAlign w:val="bottom"/>
            <w:tcBorders>
              <w:bottom w:val="single" w:sz="8" w:color="CFF0FC"/>
            </w:tcBorders>
          </w:tcPr>
          <w:p>
            <w:pPr>
              <w:spacing w:after="0"/>
              <w:rPr>
                <w:sz w:val="22"/>
                <w:szCs w:val="22"/>
                <w:color w:val="auto"/>
              </w:rPr>
            </w:pPr>
          </w:p>
        </w:tc>
        <w:tc>
          <w:tcPr>
            <w:tcW w:w="1120" w:type="dxa"/>
            <w:vAlign w:val="bottom"/>
            <w:tcBorders>
              <w:bottom w:val="single" w:sz="8" w:color="auto"/>
            </w:tcBorders>
          </w:tcPr>
          <w:p>
            <w:pPr>
              <w:jc w:val="right"/>
              <w:ind w:right="9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29,842</w:t>
            </w:r>
          </w:p>
        </w:tc>
        <w:tc>
          <w:tcPr>
            <w:tcW w:w="28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3,799</w:t>
            </w:r>
          </w:p>
        </w:tc>
        <w:tc>
          <w:tcPr>
            <w:tcW w:w="100" w:type="dxa"/>
            <w:vAlign w:val="bottom"/>
            <w:tcBorders>
              <w:bottom w:val="single" w:sz="8" w:color="CFF0FC"/>
            </w:tcBorders>
          </w:tcPr>
          <w:p>
            <w:pPr>
              <w:spacing w:after="0"/>
              <w:rPr>
                <w:sz w:val="22"/>
                <w:szCs w:val="22"/>
                <w:color w:val="auto"/>
              </w:rPr>
            </w:pPr>
          </w:p>
        </w:tc>
      </w:tr>
      <w:tr>
        <w:trPr>
          <w:trHeight w:val="21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of cash flow information</w:t>
            </w:r>
          </w:p>
        </w:tc>
        <w:tc>
          <w:tcPr>
            <w:tcW w:w="8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Supplemental non-cash activity:</w:t>
            </w: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Deferral of sales inducements</w:t>
            </w:r>
          </w:p>
        </w:tc>
        <w:tc>
          <w:tcPr>
            <w:tcW w:w="1980" w:type="dxa"/>
            <w:vAlign w:val="bottom"/>
            <w:gridSpan w:val="2"/>
            <w:shd w:val="clear" w:color="auto" w:fill="CFF0FC"/>
          </w:tcPr>
          <w:p>
            <w:pPr>
              <w:jc w:val="right"/>
              <w:ind w:right="967"/>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19"/>
                <w:szCs w:val="19"/>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LIFE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12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Federal Life Group, Inc. (“FLG”, “we”, “us”, “our” or the “Company”) is a Pennsylvania corporation organized to be the stock holding company for Federal Life Mutual Holding Company and its subsidiaries (the “Predecessor”) following the 2018 conversion of Federal Life Mutual Holding Company from mutual to stock form (the “Conversion”). Federal Life Mutual Holding Company was subsequently renamed Federal Life Holding Company after the Conversion. Prior to the Conversion, FLG was not engaged in any significant operations and did not have any assets or liabilities. After the Conversion, which was completed on December 11, 2018, when FLG issued 3,530,150 shares at $10.00 per share for gross proceeds of $35.3 million, FLG’s primary assets are the outstanding capital stock of the Predecessor and a portion of the net proceeds of the Company’s initial public offering (“IPO”), which was completed on December 11, 2018. Prior to the Conversion, FLG was a direct, wholly-owned subsidiary of the Predecessor. Following the Conversion, the Company reorganized its corporate structure so that the Predecessor is a direct, wholly owned subsidiary of FLG. FLG now contains the accounts of its Predecessor and those accounts are now consolidated with those of FLG within the accompanying financial statements. The reorganization is considered a transaction between entities that are under common control. As a result, the consolidated financial statements prior to the IPO and the reorganization have been presented at their historical amounts.</w:t>
      </w:r>
    </w:p>
    <w:p>
      <w:pPr>
        <w:spacing w:after="0" w:line="183" w:lineRule="exact"/>
        <w:rPr>
          <w:sz w:val="20"/>
          <w:szCs w:val="20"/>
          <w:color w:val="auto"/>
        </w:rPr>
      </w:pPr>
    </w:p>
    <w:p>
      <w:pPr>
        <w:ind w:right="320" w:firstLine="518"/>
        <w:spacing w:after="0" w:line="276" w:lineRule="auto"/>
        <w:rPr>
          <w:sz w:val="20"/>
          <w:szCs w:val="20"/>
          <w:color w:val="auto"/>
        </w:rPr>
      </w:pPr>
      <w:r>
        <w:rPr>
          <w:rFonts w:ascii="Arial" w:cs="Arial" w:eastAsia="Arial" w:hAnsi="Arial"/>
          <w:sz w:val="17"/>
          <w:szCs w:val="17"/>
          <w:color w:val="auto"/>
        </w:rPr>
        <w:t>The accompanying consolidated financial statements include the accounts of FLG and its subsidiaries, Federal Life Holding Company; FEDHO Holding Company (“FEDHO”); Federal Life Insurance Company (“Federal Life”); FED Mutual Financial Services, Inc. (“FED Mutual”); and Americana Realty Company (“Americana”). Additionally, the IPO described above resulted in a change in control according to Business Combinations (Topic 805), however, the Company elected not to apply push down accounting. Accordingly, the consolidated financial statements are presented at the Company’s historical carrying amounts. All intercompany transactions and balances have been eliminated in consolidation.</w:t>
      </w:r>
    </w:p>
    <w:p>
      <w:pPr>
        <w:spacing w:after="0" w:line="173"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Federal Life, a subsidiary of Federal Life Holding Company, completed a reorganization in 2016 in which it converted from a mutual to a stock insurance company within a newly created mutual holding company structure. As part of this reorganization, Federal Life Mutual Holding Company was formed as an Illinois mutual insurance holding company and Federal Life continued its existence as an Illinois stock life insurance company. All of the shares of Federal Life were issued to FEDHO, an intermediate holding company that, in turn, is a wholly-owned subsidiary of the Federal Life Holding Company. Federal Life has two wholly-owned non-insurance subsidiaries, Americana and FED Mutual, discussed further below.</w:t>
      </w:r>
    </w:p>
    <w:p>
      <w:pPr>
        <w:spacing w:after="0" w:line="173"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Federal Life’s in force business is primarily comprised of traditional life policies (term insurance, whole life insurance, non-medical health insurance, and group life insurance), interest sensitive contracts, and fixed deferred annuity contracts. Federal Life primarily sells its interest sensitive life, whole life, term life, fixed and indexed annuities through a network of independent agents. Federal Life is licensed to sell new business in the District of Columbia and all states except Maine, Massachusetts, New Hampshire, New York and Vermont. Although Federal Life is licensed to sell products in 45 states, its primary markets are Illinois, Michigan, Ohio, California, Florida, Texas, and Wisconsin.</w:t>
      </w:r>
    </w:p>
    <w:p>
      <w:pPr>
        <w:spacing w:after="0" w:line="18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Americana owns mineral rights in Arkansas, Georgia, Oklahoma and Texas. Americana earns royalty revenues from energy producers that are under agreement to drill for and produce oil and gas products on properties where Americana owns mineral rights.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FED Mutual is a FINRA licensed broker/dealer that was established to distribute Federal Life’s variable annuity products.</w:t>
      </w:r>
    </w:p>
    <w:p>
      <w:pPr>
        <w:spacing w:after="0" w:line="225"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(“GAAP”) for interim financial information and the instructions for Form 10-Q and Article 8 of Regulation S-X. Accordingly, they do not include all the information and notes required by GAAP for complete financial statements. The consolidated financial statements reflect all adjustments, consisting only of normal recurring items, which are necessary to present fairly our financial position and results of operations on a basis consistent with the prior audited consolidated financial statements. Operating results for the three month period ended March 31, 2019 are not necessarily indicative of the results that may be expected for the year ended December 31, 2019. The December 31, 2018 consolidated balance sheet data was derived from audited consolidated financial statements for the year ended December 31, 2018, which include all disclosures required by GAAP.</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For further information related to a description of areas of judgement and estimates and other information necessary to understand our financial position and results of operations, refer to the audited consolidated financial statements and notes included in our Annual Report on Form 10-K for the year ended December 31, 2018 (the “2018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Information</w:t>
      </w:r>
    </w:p>
    <w:p>
      <w:pPr>
        <w:spacing w:after="0" w:line="121"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 xml:space="preserve">Investor related information, including periodic reports filed on Forms 10-K, 10-Q and 8-K and any amendments may be found on our website at ir.federallife.com as soon as reasonably practicable after such reports are filed with the SEC. In addition, we have available on our website our: (i) compliance reporting policy; (ii) code of ethics; (iii) audit committee charter; (iv) compensation committee charter and (v) nominating committee charter. The information incorporated herein by reference is also electronically accessible from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276" w:lineRule="exact"/>
        <w:rPr>
          <w:sz w:val="20"/>
          <w:szCs w:val="20"/>
          <w:color w:val="auto"/>
        </w:rPr>
      </w:pPr>
    </w:p>
    <w:p>
      <w:pPr>
        <w:ind w:right="7520" w:firstLine="8"/>
        <w:spacing w:after="0" w:line="378" w:lineRule="auto"/>
        <w:tabs>
          <w:tab w:leader="none" w:pos="513"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ind w:right="280" w:firstLine="518"/>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management to adopt accounting policies and make estimates and assumptions that affect amounts reported in the consolidated financial statements. The most significant estimates include those used in determining the capitalization and amortization of deferred policy acquisition costs (“DAC”), the valuation of investments, future policy benefits (traditional life contracts, immediate annuities, supplemental contracts with life contingencies, and accident and health), the fair value of stock-based compensation awards, and the provision for income taxes. Actual results could differ from those estimates.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Company qualifies as an “emerging growth company” as defined in the Jumpstart Our Business Startups Act of 2012 (the “Jobs Act”). As an emerging growth company, the Company utilizes the extended transition period provided in the Securities Act of 1933 for complying with new or revised accounting standards. Under this accommodation, the Company may early adopt a new or revised accounting standard only if early adoption is permitted by the standard. Changes in accounting principles issued but not yet adopted described below reflect the Company’s status as an Emerging Growth Company and the extended adoption period allowed for such companies.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w:t>
      </w:r>
    </w:p>
    <w:p>
      <w:pPr>
        <w:spacing w:after="0" w:line="12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Additionally, the Company qualifies as a “smaller reporting company” as defined by Item 10(f)(1) of Regulation S-K. In some instances, this permits the Company to provide scaled disclosures under Regulation S-K and Regulation S-X.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Realized capital gains and losses on sales of investments include fixed maturity securities with calls and prepayments and are determined on the basis of specific security identification.</w:t>
      </w:r>
    </w:p>
    <w:p>
      <w:pPr>
        <w:spacing w:after="0" w:line="170"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Equity securities are carried at fair value. Beginning with the adoption of Accounting Standards Update (“ASU”) No. 2016-01 on January 1, 2019, changes in the fair value of equity securities are recognized through net income. Prior to January 1, 2019, unrealized gains or losses were recorded in accumulated other comprehensive income (loss) (“AOCI”). Additionally, in connection with the adoption of ASU No. 2016-01, effective January 1, 2019, the Company has reclassified its investment in Federal Home Loan Bank (“FHLB”) common stock from equity securities to other invested assets. These investments are carried at redemption value. The carrying value of these investments at December 31, 2018 was $10,000.</w:t>
      </w:r>
    </w:p>
    <w:p>
      <w:pPr>
        <w:spacing w:after="0" w:line="277" w:lineRule="exact"/>
        <w:rPr>
          <w:sz w:val="20"/>
          <w:szCs w:val="20"/>
          <w:color w:val="auto"/>
        </w:rPr>
      </w:pPr>
    </w:p>
    <w:p>
      <w:pPr>
        <w:ind w:right="8120" w:firstLine="8"/>
        <w:spacing w:after="0" w:line="453" w:lineRule="auto"/>
        <w:tabs>
          <w:tab w:leader="none" w:pos="513"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Recent Accounting Pronouncements Adopted Accounting Pronouncements</w:t>
      </w:r>
    </w:p>
    <w:p>
      <w:pPr>
        <w:spacing w:after="0" w:line="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March 2016, the Financial Accounting Standards Board (the “FASB”) issued ASU No. 2016-09, “Compensation - Stock Compensation”: Improvements to Employee Shared-Based Payment Accounting. The aspects of accounting guidance affected by this ASU are income taxes, classification of awards as either equity or liabilities, and classification on the statement of cash flows. This ASU was effective for annual reporting periods beginning after December 15, 2017. The Company adopted this ASU in the fourth quarter of fiscal 2018 upon the issuance of restricted stock and stock options to our employees. The adoption of the ASU did not have an impact on our financial statements as we did not previously have stock compensation. The Company has elected to account for forfeitures when they occur.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In February 2018, the FASB issued ASU No. 2018-02, “Reclassification of Certain Tax Effects from Accumulated Other Comprehensive Income,” which provides an option to reclassify stranded tax effects within AOCI to retained earnings in each period in which the effect of the change in the U.S. federal corporate income tax rate described in the “Income Tax Reform” section below is recorded. ASU No. 2018-02 is effective for fiscal years beginning after December 15, 2018 and should be applied either in the period of adoption or retrospectively to each period in which the effect of the change in the Tax Act is recognized. The Company early adopted ASU No. 2018-02 effective December 31, 2017 using the portfolio method, which resulted in the reclassification of $805,000 of stranded tax effects from AOCI to retained earnings within the Company’s consolidated financial statements.</w:t>
      </w:r>
    </w:p>
    <w:p>
      <w:pPr>
        <w:spacing w:after="0" w:line="165"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May 2014, the FASB issued an ASU 2014-09 “Revenue from Contracts with Customers,” related to revenue arising from contracts with customers. This ASU, which replaces most current revenue recognition guidance, including industry specific guidance, prescribes that an entity should recognize revenue to reflect the transfer of promised goods or services to customers in an amount that reflects the consideration to which the entity expects to be entitled in exchange for those goods or services. We adopted this ASU on January 1, 2019. The adoption of this ASU had no impact on our consolidated financial statements as revenues related to insurance contracts and investment contracts are excluded from its scope.</w:t>
      </w:r>
    </w:p>
    <w:p>
      <w:pPr>
        <w:spacing w:after="0" w:line="173"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In January 2016, the FASB issued ASU No. 2016-01 “Financial Instruments – Overall: Recognition and Measurement of Financial Assets and Financial Liabilities,” which revises an entity’s accounting related to the classification and measurement of certain equity investments and the presentation of certain fair value changes for financial liabilities measured at fair value. The guidance also amends certain disclosure requirements associated with the fair value of financial instruments. ASU No. 2016-01 is effective for non-public companies for annual periods beginning after December 15, 2018. We adopted this guidance effective January 1, 2019 with no material impact to our consolidated financial statements. Changes in fair value of equity securities, previously recognized through other comprehensive income (loss), are now recognized in net investment gains. We also recorded a cumulative effect adjustment to increase retained earnings by $1,160,000, net of tax, as of January 1, 2019 for unrealized gains previously recognized in AOCI. For additional information, please see Note 7.</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Accounting Pronouncements Not Yet Adopted</w:t>
      </w:r>
    </w:p>
    <w:p>
      <w:pPr>
        <w:spacing w:after="0" w:line="12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February 2016, the FASB issued ASU No. 2016-02 “Leases”, that will require recognizing lease assets and lease liabilities on the balance sheet and disclosing key information about leasing arrangements, This ASU affects accounting and disclosure more dramatically for lessees as accounting for lessors is mainly unchanged. This ASU is effective January 1, 2020. At this time, we do not believe the adoption of ASU No. 2016-02 will have an impact on the Company’s consolidated financial statements, as we do not have any material leases.</w:t>
      </w:r>
    </w:p>
    <w:p>
      <w:pPr>
        <w:spacing w:after="0" w:line="18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In August 2018, the FASB issued ASU No. 2018-12, “Targeted Improvements to the Accounting for Long-Duration Contracts,” which revises certain aspects of the measurement models and disclosure requirements for long duration insurance and investment contracts. The FASB’s objective in issuing this ASU is to improve, simplify, and enhance the accounting for long-duration contracts. The revisions include updating cash flow assumptions in the calculation of the liability for traditional life products, introducing the term ‘market risk benefit’ (“MRB”) and requiring all contract features meeting the definition of an MRB to be measured at fair value, simplifying the method used to amortize DAC and deferred sales inducement costs (“DSIC”) to a constant basis over the expected term of the related contracts rather than based on gross profits and enhancing disclosure requirements. ASU is effective on January 1, 2022, the transition date (the remeasurement date) is January 1, 2020. Early adoption of this ASU is permitted. The Company is currently assessing the impact of the guidance on its consolidated financial statements.</w:t>
      </w:r>
    </w:p>
    <w:p>
      <w:pPr>
        <w:spacing w:after="0" w:line="17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August 2017, the FASB issued ASU No. 2017-12, “Derivatives and Hedging – Targeted Improvements to Accounting for Hedging Activities,” which changes the recognition and presentation requirements of hedge accounting. ASU No. 2017-12 is effective for annual periods beginning after December 15, 2019. Early adoption is permitted. The adoption of ASU No. 2017- 12 is not expected to have a material impact on the Company’s consolidated financial statements.</w:t>
      </w:r>
    </w:p>
    <w:p>
      <w:pPr>
        <w:spacing w:after="0" w:line="18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March 2017, the FASB issued ASU No. 2017-08, “Receivables – Nonrefundable Fees and Other Costs: Premium Amortization of Purchased Callable Debt Securities,” which requires that certain premiums on callable debt securities be amortized to the earliest call date. ASU No. 2017-08 is effective for annual periods beginning after December 15, 2019. Early adoption is permitted. The adoption of ASU No. 2017-08 is not expected to have a material impact on the Company’s consolidated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June 2016, the FASB issued ASU No. 2016-13 “Financial Instruments – Credit Losses: Measurement of Credit Losses of Financial Instruments,” which provides a new current expected credit loss model to account for credit losses on certain financial assets and off-balance sheet exposure. The model requires an entity to estimate lifetime credit losses related to such assets and exposure based on relevant information about past events, current conditions, and reasonable and supportable forecasts that affect the collectability of the reported amount. The guidance also modifies the current other-than- temporary impairment guidance for available-for-sale debt securities to require the use of an allowance rather than a direct write down of the investment and replaces existing guidance for purchased credit deteriorated loans and debt securities. ASU No. 2016-13 is effective for annual reporting periods beginning after December 15, 2020 with early adoption permitted for annual periods beginning after December 15, 2018. The Company is currently assessing the impact of the guidance on its consolidated financial statements.</w:t>
      </w:r>
    </w:p>
    <w:p>
      <w:pPr>
        <w:spacing w:after="0" w:line="283" w:lineRule="exact"/>
        <w:rPr>
          <w:sz w:val="20"/>
          <w:szCs w:val="20"/>
          <w:color w:val="auto"/>
        </w:rPr>
      </w:pPr>
    </w:p>
    <w:p>
      <w:pPr>
        <w:ind w:left="800" w:hanging="792"/>
        <w:spacing w:after="0"/>
        <w:tabs>
          <w:tab w:leader="none" w:pos="8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and Related Income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principal investments are in fixed income securities, equity securities, and policy loans.</w:t>
      </w:r>
    </w:p>
    <w:p>
      <w:pPr>
        <w:spacing w:after="0" w:line="225"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The following table presents the amortized cost, gross unrealized gains (losses) and fair value of the Company’s fixed maturity securities as of March 31, 2019 and December 31, 2018. Equity securities were removed from this table upon adoption of ASU No. 2016-01 at January 1, 2019.</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6"/>
              </w:rPr>
              <w:t>March 31, 2019</w:t>
            </w: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34"/>
              <w:spacing w:after="0" w:line="155"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center"/>
              <w:ind w:left="497"/>
              <w:spacing w:after="0" w:line="155" w:lineRule="exact"/>
              <w:rPr>
                <w:sz w:val="20"/>
                <w:szCs w:val="20"/>
                <w:color w:val="auto"/>
              </w:rPr>
            </w:pPr>
            <w:r>
              <w:rPr>
                <w:rFonts w:ascii="Arial" w:cs="Arial" w:eastAsia="Arial" w:hAnsi="Arial"/>
                <w:sz w:val="14"/>
                <w:szCs w:val="14"/>
                <w:b w:val="1"/>
                <w:bCs w:val="1"/>
                <w:color w:val="auto"/>
                <w:w w:val="92"/>
              </w:rPr>
              <w:t>Gross Unrealized</w:t>
            </w: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center"/>
              <w:ind w:right="214"/>
              <w:spacing w:after="0" w:line="15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r>
      <w:tr>
        <w:trPr>
          <w:trHeight w:val="156"/>
        </w:trPr>
        <w:tc>
          <w:tcPr>
            <w:tcW w:w="3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34"/>
              <w:spacing w:after="0" w:line="155" w:lineRule="exact"/>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417"/>
              <w:spacing w:after="0" w:line="155" w:lineRule="exact"/>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jc w:val="right"/>
              <w:ind w:right="392"/>
              <w:spacing w:after="0" w:line="155" w:lineRule="exact"/>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6"/>
              </w:rPr>
              <w:t>Value</w:t>
            </w:r>
          </w:p>
        </w:tc>
      </w:tr>
      <w:tr>
        <w:trPr>
          <w:trHeight w:val="156"/>
        </w:trPr>
        <w:tc>
          <w:tcPr>
            <w:tcW w:w="3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840" w:type="dxa"/>
            <w:vAlign w:val="bottom"/>
            <w:tcBorders>
              <w:top w:val="single" w:sz="8" w:color="auto"/>
            </w:tcBorders>
            <w:gridSpan w:val="5"/>
          </w:tcPr>
          <w:p>
            <w:pPr>
              <w:jc w:val="center"/>
              <w:ind w:right="52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U.S. government</w:t>
            </w:r>
          </w:p>
        </w:tc>
        <w:tc>
          <w:tcPr>
            <w:tcW w:w="8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4,060</w:t>
            </w:r>
          </w:p>
        </w:tc>
        <w:tc>
          <w:tcPr>
            <w:tcW w:w="5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68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(92)</w:t>
            </w:r>
          </w:p>
        </w:tc>
        <w:tc>
          <w:tcPr>
            <w:tcW w:w="3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4,104</w:t>
            </w:r>
          </w:p>
        </w:tc>
        <w:tc>
          <w:tcPr>
            <w:tcW w:w="10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States, political subdivisions, other</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33,699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778</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34,387</w:t>
            </w:r>
          </w:p>
        </w:tc>
        <w:tc>
          <w:tcPr>
            <w:tcW w:w="10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109,523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2,211</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(749)</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110,985</w:t>
            </w:r>
          </w:p>
        </w:tc>
        <w:tc>
          <w:tcPr>
            <w:tcW w:w="10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Residential mortgage-backed securities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39,703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990</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40,601</w:t>
            </w:r>
          </w:p>
        </w:tc>
        <w:tc>
          <w:tcPr>
            <w:tcW w:w="10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Commercial mortgage-backed securities</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5,676</w:t>
            </w:r>
          </w:p>
        </w:tc>
        <w:tc>
          <w:tcPr>
            <w:tcW w:w="100" w:type="dxa"/>
            <w:vAlign w:val="bottom"/>
            <w:shd w:val="clear" w:color="auto" w:fill="CFF0FC"/>
          </w:tcPr>
          <w:p>
            <w:pPr>
              <w:spacing w:after="0"/>
              <w:rPr>
                <w:sz w:val="19"/>
                <w:szCs w:val="19"/>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Total fixed maturity securities</w:t>
            </w: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192,573</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4,252</w:t>
            </w: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195,753</w:t>
            </w:r>
          </w:p>
        </w:tc>
        <w:tc>
          <w:tcPr>
            <w:tcW w:w="100" w:type="dxa"/>
            <w:vAlign w:val="bottom"/>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3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3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34"/>
              <w:spacing w:after="0" w:line="155"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center"/>
              <w:ind w:left="497"/>
              <w:spacing w:after="0" w:line="155" w:lineRule="exact"/>
              <w:rPr>
                <w:sz w:val="20"/>
                <w:szCs w:val="20"/>
                <w:color w:val="auto"/>
              </w:rPr>
            </w:pPr>
            <w:r>
              <w:rPr>
                <w:rFonts w:ascii="Arial" w:cs="Arial" w:eastAsia="Arial" w:hAnsi="Arial"/>
                <w:sz w:val="14"/>
                <w:szCs w:val="14"/>
                <w:b w:val="1"/>
                <w:bCs w:val="1"/>
                <w:color w:val="auto"/>
                <w:w w:val="92"/>
              </w:rPr>
              <w:t>Gross Unrealized</w:t>
            </w: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center"/>
              <w:ind w:right="214"/>
              <w:spacing w:after="0" w:line="15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r>
      <w:tr>
        <w:trPr>
          <w:trHeight w:val="156"/>
        </w:trPr>
        <w:tc>
          <w:tcPr>
            <w:tcW w:w="3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34"/>
              <w:spacing w:after="0" w:line="155" w:lineRule="exact"/>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417"/>
              <w:spacing w:after="0" w:line="155" w:lineRule="exact"/>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jc w:val="right"/>
              <w:ind w:right="392"/>
              <w:spacing w:after="0" w:line="155" w:lineRule="exact"/>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6"/>
              </w:rPr>
              <w:t>Value</w:t>
            </w:r>
          </w:p>
        </w:tc>
      </w:tr>
      <w:tr>
        <w:trPr>
          <w:trHeight w:val="156"/>
        </w:trPr>
        <w:tc>
          <w:tcPr>
            <w:tcW w:w="3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840" w:type="dxa"/>
            <w:vAlign w:val="bottom"/>
            <w:tcBorders>
              <w:top w:val="single" w:sz="8" w:color="auto"/>
            </w:tcBorders>
            <w:gridSpan w:val="5"/>
          </w:tcPr>
          <w:p>
            <w:pPr>
              <w:jc w:val="center"/>
              <w:ind w:right="52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U.S. government</w:t>
            </w:r>
          </w:p>
        </w:tc>
        <w:tc>
          <w:tcPr>
            <w:tcW w:w="8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4,063</w:t>
            </w:r>
          </w:p>
        </w:tc>
        <w:tc>
          <w:tcPr>
            <w:tcW w:w="5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68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(148)</w:t>
            </w:r>
          </w:p>
        </w:tc>
        <w:tc>
          <w:tcPr>
            <w:tcW w:w="3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4,057</w:t>
            </w:r>
          </w:p>
        </w:tc>
        <w:tc>
          <w:tcPr>
            <w:tcW w:w="10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States, political subdivisions, other</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30,881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472</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30,989</w:t>
            </w:r>
          </w:p>
        </w:tc>
        <w:tc>
          <w:tcPr>
            <w:tcW w:w="10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108,664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(2,995)</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106,286</w:t>
            </w:r>
          </w:p>
        </w:tc>
        <w:tc>
          <w:tcPr>
            <w:tcW w:w="10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Residential mortgage-backed securities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37,755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(688)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37,522</w:t>
            </w:r>
          </w:p>
        </w:tc>
        <w:tc>
          <w:tcPr>
            <w:tcW w:w="10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Commercial mortgage-backed securities</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(124)</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5,621</w:t>
            </w:r>
          </w:p>
        </w:tc>
        <w:tc>
          <w:tcPr>
            <w:tcW w:w="100" w:type="dxa"/>
            <w:vAlign w:val="bottom"/>
            <w:shd w:val="clear" w:color="auto" w:fill="CFF0FC"/>
          </w:tcPr>
          <w:p>
            <w:pPr>
              <w:spacing w:after="0"/>
              <w:rPr>
                <w:sz w:val="19"/>
                <w:szCs w:val="19"/>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Total fixed maturity securities</w:t>
            </w: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187,035</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1,759</w:t>
            </w: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184,475</w:t>
            </w:r>
          </w:p>
        </w:tc>
        <w:tc>
          <w:tcPr>
            <w:tcW w:w="10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6,004</w:t>
            </w:r>
          </w:p>
        </w:tc>
        <w:tc>
          <w:tcPr>
            <w:tcW w:w="100" w:type="dxa"/>
            <w:vAlign w:val="bottom"/>
            <w:shd w:val="clear" w:color="auto" w:fill="CFF0FC"/>
          </w:tcPr>
          <w:p>
            <w:pPr>
              <w:spacing w:after="0"/>
              <w:rPr>
                <w:sz w:val="19"/>
                <w:szCs w:val="19"/>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Total fixed maturity and equity securities</w:t>
            </w: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191,549</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3,287</w:t>
            </w: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190,479</w:t>
            </w:r>
          </w:p>
        </w:tc>
        <w:tc>
          <w:tcPr>
            <w:tcW w:w="100" w:type="dxa"/>
            <w:vAlign w:val="bottom"/>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scheduled maturities for fixed income securities as of March 31, 2019 and December 31, 2018 are as follows: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March 31, 2019</w:t>
            </w: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2018</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3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256"/>
              <w:spacing w:after="0" w:line="147"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jc w:val="right"/>
              <w:ind w:right="456"/>
              <w:spacing w:after="0" w:line="147"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480"/>
              <w:spacing w:after="0" w:line="147" w:lineRule="exact"/>
              <w:rPr>
                <w:sz w:val="20"/>
                <w:szCs w:val="20"/>
                <w:color w:val="auto"/>
              </w:rPr>
            </w:pPr>
            <w:r>
              <w:rPr>
                <w:rFonts w:ascii="Arial" w:cs="Arial" w:eastAsia="Arial" w:hAnsi="Arial"/>
                <w:sz w:val="14"/>
                <w:szCs w:val="14"/>
                <w:b w:val="1"/>
                <w:bCs w:val="1"/>
                <w:color w:val="auto"/>
                <w:w w:val="96"/>
              </w:rPr>
              <w:t>Amortized</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center"/>
              <w:ind w:right="394"/>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r>
      <w:tr>
        <w:trPr>
          <w:trHeight w:val="171"/>
        </w:trPr>
        <w:tc>
          <w:tcPr>
            <w:tcW w:w="3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456"/>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ind w:right="416"/>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6"/>
              </w:rPr>
              <w:t>Value</w:t>
            </w:r>
          </w:p>
        </w:tc>
      </w:tr>
      <w:tr>
        <w:trPr>
          <w:trHeight w:val="156"/>
        </w:trPr>
        <w:tc>
          <w:tcPr>
            <w:tcW w:w="3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5"/>
          </w:tcPr>
          <w:p>
            <w:pPr>
              <w:ind w:left="3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Due in one year or less</w:t>
            </w:r>
          </w:p>
        </w:tc>
        <w:tc>
          <w:tcPr>
            <w:tcW w:w="9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6,699</w:t>
            </w:r>
          </w:p>
        </w:tc>
        <w:tc>
          <w:tcPr>
            <w:tcW w:w="66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6,795</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5,998</w:t>
            </w:r>
          </w:p>
        </w:tc>
        <w:tc>
          <w:tcPr>
            <w:tcW w:w="2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6,041</w:t>
            </w:r>
          </w:p>
        </w:tc>
        <w:tc>
          <w:tcPr>
            <w:tcW w:w="100" w:type="dxa"/>
            <w:vAlign w:val="bottom"/>
            <w:shd w:val="clear" w:color="auto" w:fill="CFF0FC"/>
          </w:tcPr>
          <w:p>
            <w:pPr>
              <w:spacing w:after="0"/>
              <w:rPr>
                <w:sz w:val="19"/>
                <w:szCs w:val="19"/>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34,683</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35,506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37,917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38,032</w:t>
            </w:r>
          </w:p>
        </w:tc>
        <w:tc>
          <w:tcPr>
            <w:tcW w:w="100" w:type="dxa"/>
            <w:vAlign w:val="bottom"/>
          </w:tcPr>
          <w:p>
            <w:pPr>
              <w:spacing w:after="0"/>
              <w:rPr>
                <w:sz w:val="19"/>
                <w:szCs w:val="19"/>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Due after five years through ten years</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77,014</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77,945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74,274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72,209</w:t>
            </w:r>
          </w:p>
        </w:tc>
        <w:tc>
          <w:tcPr>
            <w:tcW w:w="100" w:type="dxa"/>
            <w:vAlign w:val="bottom"/>
            <w:shd w:val="clear" w:color="auto" w:fill="CFF0FC"/>
          </w:tcPr>
          <w:p>
            <w:pPr>
              <w:spacing w:after="0"/>
              <w:rPr>
                <w:sz w:val="19"/>
                <w:szCs w:val="19"/>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Due after ten years</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28,886</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25,050</w:t>
            </w:r>
          </w:p>
        </w:tc>
        <w:tc>
          <w:tcPr>
            <w:tcW w:w="100" w:type="dxa"/>
            <w:vAlign w:val="bottom"/>
          </w:tcPr>
          <w:p>
            <w:pPr>
              <w:spacing w:after="0"/>
              <w:rPr>
                <w:sz w:val="19"/>
                <w:szCs w:val="19"/>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7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45,291</w:t>
            </w:r>
          </w:p>
        </w:tc>
        <w:tc>
          <w:tcPr>
            <w:tcW w:w="2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46,277</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43,427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43,143</w:t>
            </w:r>
          </w:p>
        </w:tc>
        <w:tc>
          <w:tcPr>
            <w:tcW w:w="100" w:type="dxa"/>
            <w:vAlign w:val="bottom"/>
            <w:shd w:val="clear" w:color="auto" w:fill="CFF0FC"/>
          </w:tcPr>
          <w:p>
            <w:pPr>
              <w:spacing w:after="0"/>
              <w:rPr>
                <w:sz w:val="19"/>
                <w:szCs w:val="19"/>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192,573</w:t>
            </w:r>
          </w:p>
        </w:tc>
        <w:tc>
          <w:tcPr>
            <w:tcW w:w="240" w:type="dxa"/>
            <w:vAlign w:val="bottom"/>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195,753</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187,035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184,475</w:t>
            </w:r>
          </w:p>
        </w:tc>
        <w:tc>
          <w:tcPr>
            <w:tcW w:w="10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Actual maturities may differ from those scheduled as a result of prepayments by the issuers. Because of the potential for prepayment on mortgage-backed securities, they are not categorized by contractual maturity.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following table presents the sources of investment proceeds and the related gross realized investment gains (losses) for the three month periods ended March 31, 2019 and March 31, 2018, respectively:</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Proceeds from sales or maturities</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Gross gains from sales or maturities</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Gross losses from sales or maturities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Proceeds from sales or maturities</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Gross gains from sales or maturities</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Gross losses from sales or maturities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March 31, 2019</w:t>
      </w: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ind w:right="317"/>
              <w:spacing w:after="0" w:line="147" w:lineRule="exact"/>
              <w:rPr>
                <w:sz w:val="20"/>
                <w:szCs w:val="20"/>
                <w:color w:val="auto"/>
              </w:rPr>
            </w:pPr>
            <w:r>
              <w:rPr>
                <w:rFonts w:ascii="Arial" w:cs="Arial" w:eastAsia="Arial" w:hAnsi="Arial"/>
                <w:sz w:val="14"/>
                <w:szCs w:val="14"/>
                <w:b w:val="1"/>
                <w:bCs w:val="1"/>
                <w:color w:val="auto"/>
                <w:w w:val="92"/>
              </w:rPr>
              <w:t>Fixed</w:t>
            </w:r>
          </w:p>
        </w:tc>
        <w:tc>
          <w:tcPr>
            <w:tcW w:w="2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center"/>
              <w:ind w:right="238"/>
              <w:spacing w:after="0" w:line="147" w:lineRule="exact"/>
              <w:rPr>
                <w:sz w:val="20"/>
                <w:szCs w:val="20"/>
                <w:color w:val="auto"/>
              </w:rPr>
            </w:pPr>
            <w:r>
              <w:rPr>
                <w:rFonts w:ascii="Arial" w:cs="Arial" w:eastAsia="Arial" w:hAnsi="Arial"/>
                <w:sz w:val="14"/>
                <w:szCs w:val="14"/>
                <w:b w:val="1"/>
                <w:bCs w:val="1"/>
                <w:color w:val="auto"/>
                <w:w w:val="98"/>
              </w:rPr>
              <w:t>Equity</w:t>
            </w:r>
          </w:p>
        </w:tc>
        <w:tc>
          <w:tcPr>
            <w:tcW w:w="3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ind w:right="157"/>
              <w:spacing w:after="0" w:line="147" w:lineRule="exact"/>
              <w:rPr>
                <w:sz w:val="20"/>
                <w:szCs w:val="20"/>
                <w:color w:val="auto"/>
              </w:rPr>
            </w:pPr>
            <w:r>
              <w:rPr>
                <w:rFonts w:ascii="Arial" w:cs="Arial" w:eastAsia="Arial" w:hAnsi="Arial"/>
                <w:sz w:val="14"/>
                <w:szCs w:val="14"/>
                <w:b w:val="1"/>
                <w:bCs w:val="1"/>
                <w:color w:val="auto"/>
                <w:w w:val="95"/>
              </w:rPr>
              <w:t>Derivative</w:t>
            </w:r>
          </w:p>
        </w:tc>
        <w:tc>
          <w:tcPr>
            <w:tcW w:w="6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317"/>
              <w:spacing w:after="0"/>
              <w:rPr>
                <w:sz w:val="20"/>
                <w:szCs w:val="20"/>
                <w:color w:val="auto"/>
              </w:rPr>
            </w:pPr>
            <w:r>
              <w:rPr>
                <w:rFonts w:ascii="Arial" w:cs="Arial" w:eastAsia="Arial" w:hAnsi="Arial"/>
                <w:sz w:val="14"/>
                <w:szCs w:val="14"/>
                <w:b w:val="1"/>
                <w:bCs w:val="1"/>
                <w:color w:val="auto"/>
                <w:w w:val="99"/>
              </w:rPr>
              <w:t>Maturities</w:t>
            </w:r>
          </w:p>
        </w:tc>
        <w:tc>
          <w:tcPr>
            <w:tcW w:w="260" w:type="dxa"/>
            <w:vAlign w:val="bottom"/>
          </w:tcPr>
          <w:p>
            <w:pPr>
              <w:spacing w:after="0"/>
              <w:rPr>
                <w:sz w:val="14"/>
                <w:szCs w:val="14"/>
                <w:color w:val="auto"/>
              </w:rPr>
            </w:pPr>
          </w:p>
        </w:tc>
        <w:tc>
          <w:tcPr>
            <w:tcW w:w="1420" w:type="dxa"/>
            <w:vAlign w:val="bottom"/>
          </w:tcPr>
          <w:p>
            <w:pPr>
              <w:jc w:val="center"/>
              <w:ind w:right="258"/>
              <w:spacing w:after="0"/>
              <w:rPr>
                <w:sz w:val="20"/>
                <w:szCs w:val="20"/>
                <w:color w:val="auto"/>
              </w:rPr>
            </w:pPr>
            <w:r>
              <w:rPr>
                <w:rFonts w:ascii="Arial" w:cs="Arial" w:eastAsia="Arial" w:hAnsi="Arial"/>
                <w:sz w:val="14"/>
                <w:szCs w:val="14"/>
                <w:b w:val="1"/>
                <w:bCs w:val="1"/>
                <w:color w:val="auto"/>
                <w:w w:val="89"/>
              </w:rPr>
              <w:t>Securities</w:t>
            </w:r>
          </w:p>
        </w:tc>
        <w:tc>
          <w:tcPr>
            <w:tcW w:w="30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Instruments</w:t>
            </w:r>
          </w:p>
        </w:tc>
      </w:tr>
      <w:tr>
        <w:trPr>
          <w:trHeight w:val="155"/>
        </w:trPr>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7"/>
              <w:spacing w:after="0"/>
              <w:rPr>
                <w:sz w:val="20"/>
                <w:szCs w:val="20"/>
                <w:color w:val="auto"/>
              </w:rPr>
            </w:pPr>
            <w:r>
              <w:rPr>
                <w:rFonts w:ascii="Arial" w:cs="Arial" w:eastAsia="Arial" w:hAnsi="Arial"/>
                <w:sz w:val="18"/>
                <w:szCs w:val="18"/>
                <w:color w:val="auto"/>
              </w:rPr>
              <w:t>3,768</w:t>
            </w:r>
          </w:p>
        </w:tc>
        <w:tc>
          <w:tcPr>
            <w:tcW w:w="2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8"/>
              <w:spacing w:after="0"/>
              <w:rPr>
                <w:sz w:val="20"/>
                <w:szCs w:val="20"/>
                <w:color w:val="auto"/>
              </w:rPr>
            </w:pPr>
            <w:r>
              <w:rPr>
                <w:rFonts w:ascii="Arial" w:cs="Arial" w:eastAsia="Arial" w:hAnsi="Arial"/>
                <w:sz w:val="18"/>
                <w:szCs w:val="18"/>
                <w:color w:val="auto"/>
              </w:rPr>
              <w:t>2,827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77"/>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420" w:type="dxa"/>
            <w:vAlign w:val="bottom"/>
          </w:tcPr>
          <w:p>
            <w:pPr>
              <w:jc w:val="right"/>
              <w:ind w:right="78"/>
              <w:spacing w:after="0"/>
              <w:rPr>
                <w:sz w:val="20"/>
                <w:szCs w:val="20"/>
                <w:color w:val="auto"/>
              </w:rPr>
            </w:pPr>
            <w:r>
              <w:rPr>
                <w:rFonts w:ascii="Arial" w:cs="Arial" w:eastAsia="Arial" w:hAnsi="Arial"/>
                <w:sz w:val="18"/>
                <w:szCs w:val="18"/>
                <w:color w:val="auto"/>
              </w:rPr>
              <w:t>715</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(140)</w:t>
            </w:r>
          </w:p>
        </w:tc>
      </w:tr>
      <w:tr>
        <w:trPr>
          <w:trHeight w:val="45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6"/>
              </w:rPr>
              <w:t>March 31, 2018</w:t>
            </w: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ind w:right="317"/>
              <w:spacing w:after="0" w:line="147" w:lineRule="exact"/>
              <w:rPr>
                <w:sz w:val="20"/>
                <w:szCs w:val="20"/>
                <w:color w:val="auto"/>
              </w:rPr>
            </w:pPr>
            <w:r>
              <w:rPr>
                <w:rFonts w:ascii="Arial" w:cs="Arial" w:eastAsia="Arial" w:hAnsi="Arial"/>
                <w:sz w:val="14"/>
                <w:szCs w:val="14"/>
                <w:b w:val="1"/>
                <w:bCs w:val="1"/>
                <w:color w:val="auto"/>
                <w:w w:val="92"/>
              </w:rPr>
              <w:t>Fixed</w:t>
            </w:r>
          </w:p>
        </w:tc>
        <w:tc>
          <w:tcPr>
            <w:tcW w:w="260" w:type="dxa"/>
            <w:vAlign w:val="bottom"/>
          </w:tcPr>
          <w:p>
            <w:pPr>
              <w:spacing w:after="0"/>
              <w:rPr>
                <w:sz w:val="12"/>
                <w:szCs w:val="12"/>
                <w:color w:val="auto"/>
              </w:rPr>
            </w:pPr>
          </w:p>
        </w:tc>
        <w:tc>
          <w:tcPr>
            <w:tcW w:w="1420" w:type="dxa"/>
            <w:vAlign w:val="bottom"/>
          </w:tcPr>
          <w:p>
            <w:pPr>
              <w:jc w:val="center"/>
              <w:ind w:right="238"/>
              <w:spacing w:after="0" w:line="147" w:lineRule="exact"/>
              <w:rPr>
                <w:sz w:val="20"/>
                <w:szCs w:val="20"/>
                <w:color w:val="auto"/>
              </w:rPr>
            </w:pPr>
            <w:r>
              <w:rPr>
                <w:rFonts w:ascii="Arial" w:cs="Arial" w:eastAsia="Arial" w:hAnsi="Arial"/>
                <w:sz w:val="14"/>
                <w:szCs w:val="14"/>
                <w:b w:val="1"/>
                <w:bCs w:val="1"/>
                <w:color w:val="auto"/>
                <w:w w:val="98"/>
              </w:rPr>
              <w:t>Equity</w:t>
            </w:r>
          </w:p>
        </w:tc>
        <w:tc>
          <w:tcPr>
            <w:tcW w:w="300" w:type="dxa"/>
            <w:vAlign w:val="bottom"/>
          </w:tcPr>
          <w:p>
            <w:pPr>
              <w:spacing w:after="0"/>
              <w:rPr>
                <w:sz w:val="12"/>
                <w:szCs w:val="12"/>
                <w:color w:val="auto"/>
              </w:rPr>
            </w:pPr>
          </w:p>
        </w:tc>
        <w:tc>
          <w:tcPr>
            <w:tcW w:w="1240" w:type="dxa"/>
            <w:vAlign w:val="bottom"/>
          </w:tcPr>
          <w:p>
            <w:pPr>
              <w:jc w:val="center"/>
              <w:ind w:right="157"/>
              <w:spacing w:after="0" w:line="147" w:lineRule="exact"/>
              <w:rPr>
                <w:sz w:val="20"/>
                <w:szCs w:val="20"/>
                <w:color w:val="auto"/>
              </w:rPr>
            </w:pPr>
            <w:r>
              <w:rPr>
                <w:rFonts w:ascii="Arial" w:cs="Arial" w:eastAsia="Arial" w:hAnsi="Arial"/>
                <w:sz w:val="14"/>
                <w:szCs w:val="14"/>
                <w:b w:val="1"/>
                <w:bCs w:val="1"/>
                <w:color w:val="auto"/>
                <w:w w:val="95"/>
              </w:rPr>
              <w:t>Derivative</w:t>
            </w:r>
          </w:p>
        </w:tc>
        <w:tc>
          <w:tcPr>
            <w:tcW w:w="6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317"/>
              <w:spacing w:after="0"/>
              <w:rPr>
                <w:sz w:val="20"/>
                <w:szCs w:val="20"/>
                <w:color w:val="auto"/>
              </w:rPr>
            </w:pPr>
            <w:r>
              <w:rPr>
                <w:rFonts w:ascii="Arial" w:cs="Arial" w:eastAsia="Arial" w:hAnsi="Arial"/>
                <w:sz w:val="14"/>
                <w:szCs w:val="14"/>
                <w:b w:val="1"/>
                <w:bCs w:val="1"/>
                <w:color w:val="auto"/>
                <w:w w:val="99"/>
              </w:rPr>
              <w:t>Maturities</w:t>
            </w:r>
          </w:p>
        </w:tc>
        <w:tc>
          <w:tcPr>
            <w:tcW w:w="260" w:type="dxa"/>
            <w:vAlign w:val="bottom"/>
          </w:tcPr>
          <w:p>
            <w:pPr>
              <w:spacing w:after="0"/>
              <w:rPr>
                <w:sz w:val="14"/>
                <w:szCs w:val="14"/>
                <w:color w:val="auto"/>
              </w:rPr>
            </w:pPr>
          </w:p>
        </w:tc>
        <w:tc>
          <w:tcPr>
            <w:tcW w:w="1420" w:type="dxa"/>
            <w:vAlign w:val="bottom"/>
          </w:tcPr>
          <w:p>
            <w:pPr>
              <w:jc w:val="center"/>
              <w:ind w:right="258"/>
              <w:spacing w:after="0"/>
              <w:rPr>
                <w:sz w:val="20"/>
                <w:szCs w:val="20"/>
                <w:color w:val="auto"/>
              </w:rPr>
            </w:pPr>
            <w:r>
              <w:rPr>
                <w:rFonts w:ascii="Arial" w:cs="Arial" w:eastAsia="Arial" w:hAnsi="Arial"/>
                <w:sz w:val="14"/>
                <w:szCs w:val="14"/>
                <w:b w:val="1"/>
                <w:bCs w:val="1"/>
                <w:color w:val="auto"/>
                <w:w w:val="89"/>
              </w:rPr>
              <w:t>Securities</w:t>
            </w:r>
          </w:p>
        </w:tc>
        <w:tc>
          <w:tcPr>
            <w:tcW w:w="30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Instruments</w:t>
            </w:r>
          </w:p>
        </w:tc>
      </w:tr>
      <w:tr>
        <w:trPr>
          <w:trHeight w:val="155"/>
        </w:trPr>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7"/>
              <w:spacing w:after="0"/>
              <w:rPr>
                <w:sz w:val="20"/>
                <w:szCs w:val="20"/>
                <w:color w:val="auto"/>
              </w:rPr>
            </w:pPr>
            <w:r>
              <w:rPr>
                <w:rFonts w:ascii="Arial" w:cs="Arial" w:eastAsia="Arial" w:hAnsi="Arial"/>
                <w:sz w:val="18"/>
                <w:szCs w:val="18"/>
                <w:color w:val="auto"/>
              </w:rPr>
              <w:t>5,614</w:t>
            </w:r>
          </w:p>
        </w:tc>
        <w:tc>
          <w:tcPr>
            <w:tcW w:w="2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77"/>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9"/>
                <w:szCs w:val="19"/>
                <w:color w:val="auto"/>
              </w:rPr>
            </w:pPr>
          </w:p>
        </w:tc>
        <w:tc>
          <w:tcPr>
            <w:tcW w:w="142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0"/>
                <w:szCs w:val="20"/>
                <w:color w:val="auto"/>
              </w:rPr>
            </w:pPr>
          </w:p>
        </w:tc>
        <w:tc>
          <w:tcPr>
            <w:tcW w:w="142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-1594485</wp:posOffset>
            </wp:positionV>
            <wp:extent cx="579755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-1303020</wp:posOffset>
            </wp:positionV>
            <wp:extent cx="579755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-436880</wp:posOffset>
            </wp:positionV>
            <wp:extent cx="579755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-145415</wp:posOffset>
            </wp:positionV>
            <wp:extent cx="579755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720"/>
            <w:col w:w="5980"/>
          </w:cols>
          <w:pgMar w:left="240" w:top="125" w:right="279" w:bottom="1440" w:gutter="0" w:footer="0" w:header="0"/>
          <w:type w:val="continuous"/>
        </w:sectPr>
      </w:pPr>
    </w:p>
    <w:p>
      <w:pPr>
        <w:spacing w:after="0" w:line="2"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For the three month period ended March 31, 2019, the Company also recognized $105,000 of unrealized losses on equity securities in net investment gains in accordance with the adoption of ASU 2016-01.</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month periods ended March 31, 2019 and March 31, 2018 the Company did not recognize any impairment losses.</w:t>
      </w:r>
    </w:p>
    <w:p>
      <w:pPr>
        <w:spacing w:after="0" w:line="225"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Company has a comprehensive portfolio monitoring process to identify and evaluate each fixed income and equity security whose carrying value may be other-than-temporarily impaired.</w:t>
      </w:r>
    </w:p>
    <w:p>
      <w:pPr>
        <w:spacing w:after="0" w:line="1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For each fixed income security in an unrealized loss position, the Company assesses whether management with the appropriate authority has made a decision to sell or whether it is probable that the Company will be required to sell the security before recovery of the amortized cost basis for reasons such as liquidity, contractual or regulatory purposes. If a security meets any of these criteria, the security’s decline in fair value is deemed other than temporary and is recorded in earnings.</w:t>
      </w:r>
    </w:p>
    <w:p>
      <w:pPr>
        <w:spacing w:after="0" w:line="18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If the Company has not made the decision to sell the fixed income security and it is not more likely than not that the Company will be required to sell the fixed income security before recovery of its amortized cost basis, the Company evaluates if it expects to receive cash flows sufficient to recover the entire amortized cost basis of the security by comparing the estimated recovery value calculated by discounting the best estimate of future cash flows at the security’s original or current effective rate, as appropriate, with the amortized cost of the security. If the Company does not expect to receive cash flows sufficient to recover the entire amortized cost basis of the fixed income security, the credit loss component of the impairment is recorded in earnings, with the remaining amount of the unrealized loss deemed to be related to other factors and recognized in AOCI.</w:t>
      </w:r>
    </w:p>
    <w:p>
      <w:pPr>
        <w:spacing w:after="0" w:line="178"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The Company’s portfolio monitoring process includes a quarterly review of all securities through a screening process which identifies instances where the fair value compared to amortized cost for fixed income securities and cost for equity securities is below established thresholds, and also includes the monitoring of other criteria such as ratings, ratings downgrades or payment defaults. The securities identified, in addition to other securities for which the Company may have a concern, are evaluated for potential other-than-temporary impairment using all reasonably available information relevant to the collectability or recovery of the security. Inherent in the Company’s evaluation of other-than-temporary impairment for these fixed income and equity securities are assumptions and estimates about the financial condition of the issue or issuer and its future earnings potential. Some of the factors considered in evaluating whether a decline in fair value is other than temporary are: 1) the length of time and extent to which the fair value has been less than amortized cost for fixed income securities, or cost for equity securities; 2) the financial condition, near-term and long-term prospects of the issue or issuer, including relevant industry specific market conditions and trends, geographic location and implications of rating agency actions and offering prices; and 3) the specific reasons that a security is in a significant unrealized loss position, including overall market conditions which could affect liquidity.</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following table shows the fair value and gross unrealized losses aggregated by investment category and length of time that individual securities have been in a continuous unrealized loss position, at March 31, 2019 and December 31, 2018. Equity securities were removed from this table upon adoption of ASU No. 2016-01 at January 1, 2019.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gridSpan w:val="2"/>
          </w:tcPr>
          <w:p>
            <w:pPr>
              <w:ind w:left="1220"/>
              <w:spacing w:after="0"/>
              <w:rPr>
                <w:sz w:val="20"/>
                <w:szCs w:val="20"/>
                <w:color w:val="auto"/>
              </w:rPr>
            </w:pPr>
            <w:r>
              <w:rPr>
                <w:rFonts w:ascii="Arial" w:cs="Arial" w:eastAsia="Arial" w:hAnsi="Arial"/>
                <w:sz w:val="14"/>
                <w:szCs w:val="14"/>
                <w:b w:val="1"/>
                <w:bCs w:val="1"/>
                <w:color w:val="auto"/>
              </w:rPr>
              <w:t>March 31, 2019</w:t>
            </w:r>
          </w:p>
        </w:tc>
        <w:tc>
          <w:tcPr>
            <w:tcW w:w="220" w:type="dxa"/>
            <w:vAlign w:val="bottom"/>
          </w:tcPr>
          <w:p>
            <w:pPr>
              <w:spacing w:after="0"/>
              <w:rPr>
                <w:sz w:val="14"/>
                <w:szCs w:val="14"/>
                <w:color w:val="auto"/>
              </w:rPr>
            </w:pPr>
          </w:p>
        </w:tc>
        <w:tc>
          <w:tcPr>
            <w:tcW w:w="24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Less than 12 months</w:t>
            </w:r>
          </w:p>
        </w:tc>
        <w:tc>
          <w:tcPr>
            <w:tcW w:w="220" w:type="dxa"/>
            <w:vAlign w:val="bottom"/>
          </w:tcPr>
          <w:p>
            <w:pPr>
              <w:spacing w:after="0"/>
              <w:rPr>
                <w:sz w:val="14"/>
                <w:szCs w:val="14"/>
                <w:color w:val="auto"/>
              </w:rPr>
            </w:pPr>
          </w:p>
        </w:tc>
        <w:tc>
          <w:tcPr>
            <w:tcW w:w="24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12 months or longer</w:t>
            </w:r>
          </w:p>
        </w:tc>
        <w:tc>
          <w:tcPr>
            <w:tcW w:w="220" w:type="dxa"/>
            <w:vAlign w:val="bottom"/>
          </w:tcPr>
          <w:p>
            <w:pPr>
              <w:spacing w:after="0"/>
              <w:rPr>
                <w:sz w:val="14"/>
                <w:szCs w:val="14"/>
                <w:color w:val="auto"/>
              </w:rPr>
            </w:pPr>
          </w:p>
        </w:tc>
        <w:tc>
          <w:tcPr>
            <w:tcW w:w="1260" w:type="dxa"/>
            <w:vAlign w:val="bottom"/>
            <w:gridSpan w:val="3"/>
          </w:tcPr>
          <w:p>
            <w:pPr>
              <w:jc w:val="right"/>
              <w:ind w:right="45"/>
              <w:spacing w:after="0"/>
              <w:rPr>
                <w:sz w:val="20"/>
                <w:szCs w:val="20"/>
                <w:color w:val="auto"/>
              </w:rPr>
            </w:pPr>
            <w:r>
              <w:rPr>
                <w:rFonts w:ascii="Arial" w:cs="Arial" w:eastAsia="Arial" w:hAnsi="Arial"/>
                <w:sz w:val="14"/>
                <w:szCs w:val="14"/>
                <w:b w:val="1"/>
                <w:bCs w:val="1"/>
                <w:color w:val="auto"/>
              </w:rPr>
              <w:t>Total</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3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76"/>
              <w:spacing w:after="0" w:line="147"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76"/>
              <w:spacing w:after="0" w:line="147" w:lineRule="exact"/>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76"/>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r>
      <w:tr>
        <w:trPr>
          <w:trHeight w:val="162"/>
        </w:trPr>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right="156"/>
              <w:spacing w:after="0"/>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r>
      <w:tr>
        <w:trPr>
          <w:trHeight w:val="171"/>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Description of securities</w:t>
            </w:r>
          </w:p>
        </w:tc>
        <w:tc>
          <w:tcPr>
            <w:tcW w:w="220" w:type="dxa"/>
            <w:vAlign w:val="bottom"/>
          </w:tcPr>
          <w:p>
            <w:pPr>
              <w:spacing w:after="0"/>
              <w:rPr>
                <w:sz w:val="14"/>
                <w:szCs w:val="14"/>
                <w:color w:val="auto"/>
              </w:rPr>
            </w:pPr>
          </w:p>
        </w:tc>
        <w:tc>
          <w:tcPr>
            <w:tcW w:w="84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r>
      <w:tr>
        <w:trPr>
          <w:trHeight w:val="156"/>
        </w:trPr>
        <w:tc>
          <w:tcPr>
            <w:tcW w:w="33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60" w:type="dxa"/>
            <w:vAlign w:val="bottom"/>
            <w:tcBorders>
              <w:top w:val="single" w:sz="8" w:color="auto"/>
            </w:tcBorders>
            <w:gridSpan w:val="5"/>
          </w:tcPr>
          <w:p>
            <w:pPr>
              <w:jc w:val="right"/>
              <w:ind w:right="7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w:t>
            </w: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States, political subdivisions, other</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3,045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8,664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(703)</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30,714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(749)</w:t>
            </w: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540" w:type="dxa"/>
            <w:vAlign w:val="bottom"/>
            <w:gridSpan w:val="2"/>
          </w:tcPr>
          <w:p>
            <w:pPr>
              <w:ind w:left="140"/>
              <w:spacing w:after="0"/>
              <w:rPr>
                <w:sz w:val="20"/>
                <w:szCs w:val="20"/>
                <w:color w:val="auto"/>
              </w:rPr>
            </w:pPr>
            <w:r>
              <w:rPr>
                <w:rFonts w:ascii="Arial" w:cs="Arial" w:eastAsia="Arial" w:hAnsi="Arial"/>
                <w:sz w:val="18"/>
                <w:szCs w:val="18"/>
                <w:color w:val="auto"/>
              </w:rPr>
              <w:t>securities</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10,164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10,164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r>
      <w:tr>
        <w:trPr>
          <w:trHeight w:val="215"/>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mortgage-backed</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2,474</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2,524</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w:t>
            </w: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8,085</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46,941</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55,026</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3540" w:type="dxa"/>
            <w:vAlign w:val="bottom"/>
            <w:gridSpan w:val="2"/>
          </w:tcPr>
          <w:p>
            <w:pPr>
              <w:ind w:left="1100"/>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Pr>
          <w:p>
            <w:pPr>
              <w:spacing w:after="0"/>
              <w:rPr>
                <w:sz w:val="24"/>
                <w:szCs w:val="24"/>
                <w:color w:val="auto"/>
              </w:rPr>
            </w:pPr>
          </w:p>
        </w:tc>
        <w:tc>
          <w:tcPr>
            <w:tcW w:w="24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Less than 12 months</w:t>
            </w:r>
          </w:p>
        </w:tc>
        <w:tc>
          <w:tcPr>
            <w:tcW w:w="220" w:type="dxa"/>
            <w:vAlign w:val="bottom"/>
          </w:tcPr>
          <w:p>
            <w:pPr>
              <w:spacing w:after="0"/>
              <w:rPr>
                <w:sz w:val="24"/>
                <w:szCs w:val="24"/>
                <w:color w:val="auto"/>
              </w:rPr>
            </w:pPr>
          </w:p>
        </w:tc>
        <w:tc>
          <w:tcPr>
            <w:tcW w:w="24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12 months or longer</w:t>
            </w:r>
          </w:p>
        </w:tc>
        <w:tc>
          <w:tcPr>
            <w:tcW w:w="220" w:type="dxa"/>
            <w:vAlign w:val="bottom"/>
          </w:tcPr>
          <w:p>
            <w:pPr>
              <w:spacing w:after="0"/>
              <w:rPr>
                <w:sz w:val="24"/>
                <w:szCs w:val="24"/>
                <w:color w:val="auto"/>
              </w:rPr>
            </w:pPr>
          </w:p>
        </w:tc>
        <w:tc>
          <w:tcPr>
            <w:tcW w:w="1260" w:type="dxa"/>
            <w:vAlign w:val="bottom"/>
            <w:gridSpan w:val="3"/>
          </w:tcPr>
          <w:p>
            <w:pPr>
              <w:jc w:val="right"/>
              <w:ind w:right="45"/>
              <w:spacing w:after="0"/>
              <w:rPr>
                <w:sz w:val="20"/>
                <w:szCs w:val="20"/>
                <w:color w:val="auto"/>
              </w:rPr>
            </w:pPr>
            <w:r>
              <w:rPr>
                <w:rFonts w:ascii="Arial" w:cs="Arial" w:eastAsia="Arial" w:hAnsi="Arial"/>
                <w:sz w:val="14"/>
                <w:szCs w:val="14"/>
                <w:b w:val="1"/>
                <w:bCs w:val="1"/>
                <w:color w:val="auto"/>
              </w:rPr>
              <w:t>Total</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3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76"/>
              <w:spacing w:after="0" w:line="147"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76"/>
              <w:spacing w:after="0" w:line="147" w:lineRule="exact"/>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76"/>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r>
      <w:tr>
        <w:trPr>
          <w:trHeight w:val="162"/>
        </w:trPr>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right="156"/>
              <w:spacing w:after="0"/>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r>
      <w:tr>
        <w:trPr>
          <w:trHeight w:val="171"/>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Description of securities</w:t>
            </w:r>
          </w:p>
        </w:tc>
        <w:tc>
          <w:tcPr>
            <w:tcW w:w="220" w:type="dxa"/>
            <w:vAlign w:val="bottom"/>
          </w:tcPr>
          <w:p>
            <w:pPr>
              <w:spacing w:after="0"/>
              <w:rPr>
                <w:sz w:val="14"/>
                <w:szCs w:val="14"/>
                <w:color w:val="auto"/>
              </w:rPr>
            </w:pPr>
          </w:p>
        </w:tc>
        <w:tc>
          <w:tcPr>
            <w:tcW w:w="84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r>
      <w:tr>
        <w:trPr>
          <w:trHeight w:val="156"/>
        </w:trPr>
        <w:tc>
          <w:tcPr>
            <w:tcW w:w="33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60" w:type="dxa"/>
            <w:vAlign w:val="bottom"/>
            <w:tcBorders>
              <w:top w:val="single" w:sz="8" w:color="auto"/>
            </w:tcBorders>
            <w:gridSpan w:val="5"/>
          </w:tcPr>
          <w:p>
            <w:pPr>
              <w:jc w:val="right"/>
              <w:ind w:right="7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(148)</w:t>
            </w: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States, political subdivisions, other</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6,106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9,339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15,445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(364)</w:t>
            </w: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49,193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(1,886)</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(1,109)</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63,421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(2,995)</w:t>
            </w: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540" w:type="dxa"/>
            <w:vAlign w:val="bottom"/>
            <w:gridSpan w:val="2"/>
          </w:tcPr>
          <w:p>
            <w:pPr>
              <w:ind w:left="140"/>
              <w:spacing w:after="0"/>
              <w:rPr>
                <w:sz w:val="20"/>
                <w:szCs w:val="20"/>
                <w:color w:val="auto"/>
              </w:rPr>
            </w:pPr>
            <w:r>
              <w:rPr>
                <w:rFonts w:ascii="Arial" w:cs="Arial" w:eastAsia="Arial" w:hAnsi="Arial"/>
                <w:sz w:val="18"/>
                <w:szCs w:val="18"/>
                <w:color w:val="auto"/>
              </w:rPr>
              <w:t>securities</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9,401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13,065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(530)</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22,466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(688)</w:t>
            </w:r>
          </w:p>
        </w:tc>
      </w:tr>
      <w:tr>
        <w:trPr>
          <w:trHeight w:val="215"/>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mortgage-backed</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2,003</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3,505</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(124)</w:t>
            </w: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23"/>
        </w:trPr>
        <w:tc>
          <w:tcPr>
            <w:tcW w:w="3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67,082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41,041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108,123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It is not more likely than not that the Company will be required to sell these investments before recovery of their amortized cost bases, which may be maturity.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investment income for the three month periods ended March 31, 2019 and March 31, 2018, respectively, is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0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3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2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Fixed maturity securities</w:t>
            </w:r>
          </w:p>
        </w:tc>
        <w:tc>
          <w:tcPr>
            <w:tcW w:w="2360" w:type="dxa"/>
            <w:vAlign w:val="bottom"/>
            <w:gridSpan w:val="2"/>
            <w:shd w:val="clear" w:color="auto" w:fill="CFF0FC"/>
          </w:tcPr>
          <w:p>
            <w:pPr>
              <w:jc w:val="right"/>
              <w:ind w:right="91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Equity securities</w:t>
            </w: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1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Cash equivalents</w:t>
            </w: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Policy loans</w:t>
            </w:r>
          </w:p>
        </w:tc>
        <w:tc>
          <w:tcPr>
            <w:tcW w:w="1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Subtotal</w:t>
            </w:r>
          </w:p>
        </w:tc>
        <w:tc>
          <w:tcPr>
            <w:tcW w:w="1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2,347</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2,267</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Investment expense</w:t>
            </w: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6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9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investment income</w:t>
            </w: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60" w:type="dxa"/>
            <w:vAlign w:val="bottom"/>
            <w:vMerge w:val="restart"/>
          </w:tcPr>
          <w:p>
            <w:pPr>
              <w:jc w:val="right"/>
              <w:ind w:right="10"/>
              <w:spacing w:after="0"/>
              <w:rPr>
                <w:sz w:val="20"/>
                <w:szCs w:val="20"/>
                <w:color w:val="auto"/>
              </w:rPr>
            </w:pPr>
            <w:r>
              <w:rPr>
                <w:rFonts w:ascii="Arial" w:cs="Arial" w:eastAsia="Arial" w:hAnsi="Arial"/>
                <w:sz w:val="18"/>
                <w:szCs w:val="18"/>
                <w:color w:val="auto"/>
              </w:rPr>
              <w:t>10</w:t>
            </w: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7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Capital Gains (Losses)</w:t>
      </w:r>
    </w:p>
    <w:p>
      <w:pPr>
        <w:spacing w:after="0" w:line="12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following table shows the unrealized net capital gains and losses included in AOCI at March 31, 2019 and December 31, 2018. Equity securities were removed from this table upon adoption of ASU No. 2016-01 at January 1, 2019.</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center"/>
              <w:ind w:left="563"/>
              <w:spacing w:after="0"/>
              <w:rPr>
                <w:sz w:val="20"/>
                <w:szCs w:val="20"/>
                <w:color w:val="auto"/>
              </w:rPr>
            </w:pPr>
            <w:r>
              <w:rPr>
                <w:rFonts w:ascii="Arial" w:cs="Arial" w:eastAsia="Arial" w:hAnsi="Arial"/>
                <w:sz w:val="14"/>
                <w:szCs w:val="14"/>
                <w:b w:val="1"/>
                <w:bCs w:val="1"/>
                <w:color w:val="auto"/>
                <w:w w:val="96"/>
              </w:rPr>
              <w:t>March 31, 2019</w:t>
            </w: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80"/>
              <w:spacing w:after="0" w:line="147"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center"/>
              <w:ind w:left="543"/>
              <w:spacing w:after="0"/>
              <w:rPr>
                <w:sz w:val="20"/>
                <w:szCs w:val="20"/>
                <w:color w:val="auto"/>
              </w:rPr>
            </w:pPr>
            <w:r>
              <w:rPr>
                <w:rFonts w:ascii="Arial" w:cs="Arial" w:eastAsia="Arial" w:hAnsi="Arial"/>
                <w:sz w:val="14"/>
                <w:szCs w:val="14"/>
                <w:b w:val="1"/>
                <w:bCs w:val="1"/>
                <w:color w:val="auto"/>
                <w:w w:val="92"/>
              </w:rPr>
              <w:t>Gross Unrealized</w:t>
            </w:r>
          </w:p>
        </w:tc>
        <w:tc>
          <w:tcPr>
            <w:tcW w:w="9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jc w:val="center"/>
              <w:ind w:right="400"/>
              <w:spacing w:after="0" w:line="155" w:lineRule="exact"/>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jc w:val="right"/>
              <w:ind w:right="623"/>
              <w:spacing w:after="0" w:line="155" w:lineRule="exact"/>
              <w:rPr>
                <w:sz w:val="20"/>
                <w:szCs w:val="20"/>
                <w:color w:val="auto"/>
              </w:rPr>
            </w:pPr>
            <w:r>
              <w:rPr>
                <w:rFonts w:ascii="Arial" w:cs="Arial" w:eastAsia="Arial" w:hAnsi="Arial"/>
                <w:sz w:val="14"/>
                <w:szCs w:val="14"/>
                <w:b w:val="1"/>
                <w:bCs w:val="1"/>
                <w:color w:val="auto"/>
              </w:rPr>
              <w:t>Gains</w:t>
            </w:r>
          </w:p>
        </w:tc>
        <w:tc>
          <w:tcPr>
            <w:tcW w:w="700" w:type="dxa"/>
            <w:vAlign w:val="bottom"/>
          </w:tcPr>
          <w:p>
            <w:pPr>
              <w:spacing w:after="0"/>
              <w:rPr>
                <w:sz w:val="13"/>
                <w:szCs w:val="13"/>
                <w:color w:val="auto"/>
              </w:rPr>
            </w:pPr>
          </w:p>
        </w:tc>
        <w:tc>
          <w:tcPr>
            <w:tcW w:w="960" w:type="dxa"/>
            <w:vAlign w:val="bottom"/>
          </w:tcPr>
          <w:p>
            <w:pPr>
              <w:spacing w:after="0" w:line="155" w:lineRule="exact"/>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gridSpan w:val="2"/>
          </w:tcPr>
          <w:p>
            <w:pPr>
              <w:jc w:val="center"/>
              <w:ind w:left="563"/>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9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Fixed income securities</w:t>
            </w: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195,753</w:t>
            </w: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43"/>
              <w:spacing w:after="0"/>
              <w:rPr>
                <w:sz w:val="20"/>
                <w:szCs w:val="20"/>
                <w:color w:val="auto"/>
              </w:rPr>
            </w:pPr>
            <w:r>
              <w:rPr>
                <w:rFonts w:ascii="Arial" w:cs="Arial" w:eastAsia="Arial" w:hAnsi="Arial"/>
                <w:sz w:val="18"/>
                <w:szCs w:val="18"/>
                <w:color w:val="auto"/>
              </w:rPr>
              <w:t>4,252</w:t>
            </w:r>
          </w:p>
        </w:tc>
        <w:tc>
          <w:tcPr>
            <w:tcW w:w="70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(1,072)</w:t>
            </w:r>
          </w:p>
        </w:tc>
        <w:tc>
          <w:tcPr>
            <w:tcW w:w="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Pr>
          <w:p>
            <w:pPr>
              <w:spacing w:after="0"/>
              <w:rPr>
                <w:sz w:val="20"/>
                <w:szCs w:val="20"/>
                <w:color w:val="auto"/>
              </w:rPr>
            </w:pPr>
            <w:r>
              <w:rPr>
                <w:rFonts w:ascii="Arial" w:cs="Arial" w:eastAsia="Arial" w:hAnsi="Arial"/>
                <w:sz w:val="18"/>
                <w:szCs w:val="18"/>
                <w:color w:val="auto"/>
              </w:rPr>
              <w:t>Net unrealized capital gains</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gridSpan w:val="2"/>
            <w:vMerge w:val="restart"/>
          </w:tcPr>
          <w:p>
            <w:pPr>
              <w:jc w:val="center"/>
              <w:ind w:left="563"/>
              <w:spacing w:after="0"/>
              <w:rPr>
                <w:sz w:val="20"/>
                <w:szCs w:val="20"/>
                <w:color w:val="auto"/>
              </w:rPr>
            </w:pPr>
            <w:r>
              <w:rPr>
                <w:rFonts w:ascii="Arial" w:cs="Arial" w:eastAsia="Arial" w:hAnsi="Arial"/>
                <w:sz w:val="14"/>
                <w:szCs w:val="14"/>
                <w:b w:val="1"/>
                <w:bCs w:val="1"/>
                <w:color w:val="auto"/>
                <w:w w:val="91"/>
              </w:rPr>
              <w:t>December 31, 2018</w:t>
            </w: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vMerge w:val="continue"/>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80"/>
              <w:spacing w:after="0" w:line="147"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center"/>
              <w:ind w:left="543"/>
              <w:spacing w:after="0"/>
              <w:rPr>
                <w:sz w:val="20"/>
                <w:szCs w:val="20"/>
                <w:color w:val="auto"/>
              </w:rPr>
            </w:pPr>
            <w:r>
              <w:rPr>
                <w:rFonts w:ascii="Arial" w:cs="Arial" w:eastAsia="Arial" w:hAnsi="Arial"/>
                <w:sz w:val="14"/>
                <w:szCs w:val="14"/>
                <w:b w:val="1"/>
                <w:bCs w:val="1"/>
                <w:color w:val="auto"/>
                <w:w w:val="92"/>
              </w:rPr>
              <w:t>Gross Unrealized</w:t>
            </w:r>
          </w:p>
        </w:tc>
        <w:tc>
          <w:tcPr>
            <w:tcW w:w="9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jc w:val="center"/>
              <w:ind w:right="400"/>
              <w:spacing w:after="0" w:line="155" w:lineRule="exact"/>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jc w:val="right"/>
              <w:ind w:right="623"/>
              <w:spacing w:after="0" w:line="155" w:lineRule="exact"/>
              <w:rPr>
                <w:sz w:val="20"/>
                <w:szCs w:val="20"/>
                <w:color w:val="auto"/>
              </w:rPr>
            </w:pPr>
            <w:r>
              <w:rPr>
                <w:rFonts w:ascii="Arial" w:cs="Arial" w:eastAsia="Arial" w:hAnsi="Arial"/>
                <w:sz w:val="14"/>
                <w:szCs w:val="14"/>
                <w:b w:val="1"/>
                <w:bCs w:val="1"/>
                <w:color w:val="auto"/>
              </w:rPr>
              <w:t>Gains</w:t>
            </w:r>
          </w:p>
        </w:tc>
        <w:tc>
          <w:tcPr>
            <w:tcW w:w="700" w:type="dxa"/>
            <w:vAlign w:val="bottom"/>
          </w:tcPr>
          <w:p>
            <w:pPr>
              <w:spacing w:after="0"/>
              <w:rPr>
                <w:sz w:val="13"/>
                <w:szCs w:val="13"/>
                <w:color w:val="auto"/>
              </w:rPr>
            </w:pPr>
          </w:p>
        </w:tc>
        <w:tc>
          <w:tcPr>
            <w:tcW w:w="960" w:type="dxa"/>
            <w:vAlign w:val="bottom"/>
          </w:tcPr>
          <w:p>
            <w:pPr>
              <w:spacing w:after="0" w:line="155" w:lineRule="exact"/>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gridSpan w:val="2"/>
          </w:tcPr>
          <w:p>
            <w:pPr>
              <w:jc w:val="center"/>
              <w:ind w:left="563"/>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9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Fixed income securities</w:t>
            </w: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184,475</w:t>
            </w: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43"/>
              <w:spacing w:after="0"/>
              <w:rPr>
                <w:sz w:val="20"/>
                <w:szCs w:val="20"/>
                <w:color w:val="auto"/>
              </w:rPr>
            </w:pPr>
            <w:r>
              <w:rPr>
                <w:rFonts w:ascii="Arial" w:cs="Arial" w:eastAsia="Arial" w:hAnsi="Arial"/>
                <w:sz w:val="18"/>
                <w:szCs w:val="18"/>
                <w:color w:val="auto"/>
              </w:rPr>
              <w:t>1,759</w:t>
            </w:r>
          </w:p>
        </w:tc>
        <w:tc>
          <w:tcPr>
            <w:tcW w:w="70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(4,319)</w:t>
            </w:r>
          </w:p>
        </w:tc>
        <w:tc>
          <w:tcPr>
            <w:tcW w:w="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securities</w:t>
            </w:r>
          </w:p>
        </w:tc>
        <w:tc>
          <w:tcPr>
            <w:tcW w:w="6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jc w:val="right"/>
              <w:ind w:right="60"/>
              <w:spacing w:after="0"/>
              <w:rPr>
                <w:sz w:val="20"/>
                <w:szCs w:val="20"/>
                <w:color w:val="auto"/>
              </w:rPr>
            </w:pPr>
            <w:r>
              <w:rPr>
                <w:rFonts w:ascii="Arial" w:cs="Arial" w:eastAsia="Arial" w:hAnsi="Arial"/>
                <w:sz w:val="18"/>
                <w:szCs w:val="18"/>
                <w:color w:val="auto"/>
              </w:rPr>
              <w:t>6,004</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jc w:val="right"/>
              <w:ind w:right="43"/>
              <w:spacing w:after="0"/>
              <w:rPr>
                <w:sz w:val="20"/>
                <w:szCs w:val="20"/>
                <w:color w:val="auto"/>
              </w:rPr>
            </w:pPr>
            <w:r>
              <w:rPr>
                <w:rFonts w:ascii="Arial" w:cs="Arial" w:eastAsia="Arial" w:hAnsi="Arial"/>
                <w:sz w:val="18"/>
                <w:szCs w:val="18"/>
                <w:color w:val="auto"/>
              </w:rPr>
              <w:t>1,528</w:t>
            </w:r>
          </w:p>
        </w:tc>
        <w:tc>
          <w:tcPr>
            <w:tcW w:w="70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unrealized capital gains</w:t>
            </w:r>
          </w:p>
        </w:tc>
        <w:tc>
          <w:tcPr>
            <w:tcW w:w="6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At March 31, 2019 and December 31, 2018, securities with a market value of approximately $4.6 million and $4.5 million, respectively, were on deposit with governmental agencies as required by State Insurance Departments.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generally strives to maintain a diversified invested asset portfolio but is exposed to credit and other types of risks related to its holding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fixed income and equity securities. Such risk may be related to individual companies, sectors, or entire asset classes. The Company manages this risk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holding a diversified portfolio of securities and sectors and by limiting the amount of exposure to a single issuer of credit. For March 31, 2019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approximately 24% and 23%, respectively, of the Company’s investments in fixed maturities were invested in commercial and residential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mortgage-backed securities and approximately 56% and 57% in corporate bonds. Approximately 5% of the fixed income maturities were rated below</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investment grade. There is certain concentration risk from investments in companies that are engaged in similar activities and have similar economic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characteristics. The largest corporate bond sector exposures at March 31, 2019 are consumer non-cyclical consisting of 10% of the total fixed income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portfolio, banks 6%, communications 5%, real estate 5%, and energy 5%. The largest corporate bond sector exposures at December 31, 2018 were consumer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non-cyclical consisting of 11% of the total fixed income portfolio, banks 6%, communications 6%, energy 5%, and real estate 5%. The Company uses equity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index options to fully hedge its equity market exposure to index annuity products. These are exchange-traded options and there is no credit risk.</w:t>
      </w:r>
    </w:p>
    <w:p>
      <w:pPr>
        <w:spacing w:after="0" w:line="326"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121"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The Company uses derivatives to hedge its equity market exposure to index annuity products which are contracts that earn a return based on the change in the value of the S&amp;P 500 index between annual index point dates. The Company buys and sells listed equity and index call options and call option spreads and there is no credit risk. The net premium is paid up front and there are no additional cash requirements or additional contingent liabilities. These contracts are held at fair market value on the Company’s balance sheet. At March 31, 2019 and December 31, 2018, these derivative hedges had a net market value of $0.5 million and $0.2 million, with notional amounts of $13.2 million and $12.7 million on call options purchased and $9.1 million and $8.8 million on call options written, respectively. Derivative instruments are included in other invested assets on the consolidated balance sheets.</w:t>
      </w:r>
    </w:p>
    <w:p>
      <w:pPr>
        <w:spacing w:after="0" w:line="269"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Fair value estimates are made at specific points in time, based on relevant market information and information about the financial instrument. These estimates do not reflect any premium or discount that could result from offering for sale, at one time, the Company’s entire holding of a particular financial instrument. Although fair value estimates are calculated using assumptions that management believes are appropriate, changes in assumptions could significantly affect estimates.</w:t>
      </w:r>
    </w:p>
    <w:p>
      <w:pPr>
        <w:spacing w:after="0" w:line="187"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Fair value estimates are determined for existing financial instruments without attempting to estimate the value of anticipated future business and the value of assets and certain liabilities that are not considered financial instruments. Accordingly, the aggregate fair value estimates presented do not represent the underlying value of the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Company has procedures in place to validate the fair values received from the independent pricing service. The Company assesses whether prices received represent a reasonable estimate of fair value through various controls designed to ensure that valuations represent a fair price, including calculation of portfolio returns, comparison of returns to corresponding benchmark returns, analysis of periodic changes in market prices, evaluation of corresponding market yields and spread levels, and comparing prices from multiple pricing sources. On an ongoing basis, the Company monitors the pricing service valuation methods and evaluates the various types of securities in its investment portfolio to determine an appropriate fair value hierarchy.</w:t>
      </w:r>
    </w:p>
    <w:p>
      <w:pPr>
        <w:spacing w:after="0" w:line="15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addition, tax ramifications related to the realization of unrealized gains and losses can have a significant effect on fair value estimates and have not been considered in any of the estimates. The following methods and assumptions were used by the Company in estimating the fair value of its financial instruments:</w:t>
      </w:r>
    </w:p>
    <w:p>
      <w:pPr>
        <w:spacing w:after="0" w:line="177" w:lineRule="exact"/>
        <w:rPr>
          <w:sz w:val="20"/>
          <w:szCs w:val="20"/>
          <w:color w:val="auto"/>
        </w:rPr>
      </w:pPr>
    </w:p>
    <w:p>
      <w:pPr>
        <w:ind w:left="520" w:right="680"/>
        <w:spacing w:after="0" w:line="347" w:lineRule="auto"/>
        <w:rPr>
          <w:sz w:val="20"/>
          <w:szCs w:val="20"/>
          <w:color w:val="auto"/>
        </w:rPr>
      </w:pPr>
      <w:r>
        <w:rPr>
          <w:rFonts w:ascii="Arial" w:cs="Arial" w:eastAsia="Arial" w:hAnsi="Arial"/>
          <w:sz w:val="16"/>
          <w:szCs w:val="16"/>
          <w:b w:val="1"/>
          <w:bCs w:val="1"/>
          <w:color w:val="auto"/>
        </w:rPr>
        <w:t xml:space="preserve">Fixed maturity and equity securities: </w:t>
      </w:r>
      <w:r>
        <w:rPr>
          <w:rFonts w:ascii="Arial" w:cs="Arial" w:eastAsia="Arial" w:hAnsi="Arial"/>
          <w:sz w:val="16"/>
          <w:szCs w:val="16"/>
          <w:color w:val="auto"/>
        </w:rPr>
        <w:t>Fair values were determined by an independent pricing service and are downloaded from Clearwater</w:t>
      </w:r>
      <w:r>
        <w:rPr>
          <w:rFonts w:ascii="Arial" w:cs="Arial" w:eastAsia="Arial" w:hAnsi="Arial"/>
          <w:sz w:val="16"/>
          <w:szCs w:val="16"/>
          <w:b w:val="1"/>
          <w:bCs w:val="1"/>
          <w:color w:val="auto"/>
        </w:rPr>
        <w:t xml:space="preserve"> </w:t>
      </w:r>
      <w:r>
        <w:rPr>
          <w:rFonts w:ascii="Arial" w:cs="Arial" w:eastAsia="Arial" w:hAnsi="Arial"/>
          <w:sz w:val="16"/>
          <w:szCs w:val="16"/>
          <w:color w:val="auto"/>
        </w:rPr>
        <w:t>Analytics. The Company does not own any securities for which a fair value was not provided by the pricing service or a custody statement.</w:t>
      </w:r>
    </w:p>
    <w:p>
      <w:pPr>
        <w:spacing w:after="0" w:line="120"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color w:val="auto"/>
        </w:rPr>
        <w:t>If a fair value had not been provided for a security, the Company would use a fair value estimated from yield data relating to instruments or securities with similar characteristics or as determined in good faith by the Company’s investment advisor, DWS.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Policy loans: </w:t>
      </w:r>
      <w:r>
        <w:rPr>
          <w:rFonts w:ascii="Arial" w:cs="Arial" w:eastAsia="Arial" w:hAnsi="Arial"/>
          <w:sz w:val="18"/>
          <w:szCs w:val="18"/>
          <w:color w:val="auto"/>
        </w:rPr>
        <w:t>The carrying value of policy loans approximates fair value.</w:t>
      </w:r>
    </w:p>
    <w:p>
      <w:pPr>
        <w:spacing w:after="0" w:line="225" w:lineRule="exact"/>
        <w:rPr>
          <w:sz w:val="20"/>
          <w:szCs w:val="20"/>
          <w:color w:val="auto"/>
        </w:rPr>
      </w:pPr>
    </w:p>
    <w:p>
      <w:pPr>
        <w:ind w:left="520"/>
        <w:spacing w:after="0" w:line="282" w:lineRule="auto"/>
        <w:rPr>
          <w:sz w:val="20"/>
          <w:szCs w:val="20"/>
          <w:color w:val="auto"/>
        </w:rPr>
      </w:pPr>
      <w:r>
        <w:rPr>
          <w:rFonts w:ascii="Arial" w:cs="Arial" w:eastAsia="Arial" w:hAnsi="Arial"/>
          <w:sz w:val="18"/>
          <w:szCs w:val="18"/>
          <w:b w:val="1"/>
          <w:bCs w:val="1"/>
          <w:color w:val="auto"/>
        </w:rPr>
        <w:t xml:space="preserve">Other invested assets: </w:t>
      </w:r>
      <w:r>
        <w:rPr>
          <w:rFonts w:ascii="Arial" w:cs="Arial" w:eastAsia="Arial" w:hAnsi="Arial"/>
          <w:sz w:val="18"/>
          <w:szCs w:val="18"/>
          <w:color w:val="auto"/>
        </w:rPr>
        <w:t>Fair values of derivative instruments were determined by an independent pricing service and are downloaded from Clearwater</w:t>
      </w:r>
      <w:r>
        <w:rPr>
          <w:rFonts w:ascii="Arial" w:cs="Arial" w:eastAsia="Arial" w:hAnsi="Arial"/>
          <w:sz w:val="18"/>
          <w:szCs w:val="18"/>
          <w:b w:val="1"/>
          <w:bCs w:val="1"/>
          <w:color w:val="auto"/>
        </w:rPr>
        <w:t xml:space="preserve"> </w:t>
      </w:r>
      <w:r>
        <w:rPr>
          <w:rFonts w:ascii="Arial" w:cs="Arial" w:eastAsia="Arial" w:hAnsi="Arial"/>
          <w:sz w:val="18"/>
          <w:szCs w:val="18"/>
          <w:color w:val="auto"/>
        </w:rPr>
        <w:t>Analytics. FHLB common stock is held at redemption value (see Note 2).</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The carrying value approximates fair value.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Separate account asset/liability: </w:t>
      </w:r>
      <w:r>
        <w:rPr>
          <w:rFonts w:ascii="Arial" w:cs="Arial" w:eastAsia="Arial" w:hAnsi="Arial"/>
          <w:sz w:val="18"/>
          <w:szCs w:val="18"/>
          <w:color w:val="auto"/>
        </w:rPr>
        <w:t>Fair values are based on net asset values provided daily by fund managers.</w:t>
      </w:r>
    </w:p>
    <w:p>
      <w:pPr>
        <w:spacing w:after="0" w:line="225" w:lineRule="exact"/>
        <w:rPr>
          <w:sz w:val="20"/>
          <w:szCs w:val="20"/>
          <w:color w:val="auto"/>
        </w:rPr>
      </w:pPr>
    </w:p>
    <w:p>
      <w:pPr>
        <w:ind w:left="520" w:right="440"/>
        <w:spacing w:after="0" w:line="282" w:lineRule="auto"/>
        <w:rPr>
          <w:sz w:val="20"/>
          <w:szCs w:val="20"/>
          <w:color w:val="auto"/>
        </w:rPr>
      </w:pPr>
      <w:r>
        <w:rPr>
          <w:rFonts w:ascii="Arial" w:cs="Arial" w:eastAsia="Arial" w:hAnsi="Arial"/>
          <w:sz w:val="18"/>
          <w:szCs w:val="18"/>
          <w:b w:val="1"/>
          <w:bCs w:val="1"/>
          <w:color w:val="auto"/>
        </w:rPr>
        <w:t xml:space="preserve">Policyholder account balance: </w:t>
      </w:r>
      <w:r>
        <w:rPr>
          <w:rFonts w:ascii="Arial" w:cs="Arial" w:eastAsia="Arial" w:hAnsi="Arial"/>
          <w:sz w:val="18"/>
          <w:szCs w:val="18"/>
          <w:color w:val="auto"/>
        </w:rPr>
        <w:t>For deposit liabilities, the carrying value was based on the amount payable on demand at the reporting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fair value.</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Dividend accumulations and other: </w:t>
      </w:r>
      <w:r>
        <w:rPr>
          <w:rFonts w:ascii="Arial" w:cs="Arial" w:eastAsia="Arial" w:hAnsi="Arial"/>
          <w:sz w:val="18"/>
          <w:szCs w:val="18"/>
          <w:color w:val="auto"/>
        </w:rPr>
        <w:t>The carrying value approximates fair value.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Amounts related to the Company’s financial instruments as of March 31, 2019 and December 31, 2018 are as follows: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175"/>
              <w:spacing w:after="0"/>
              <w:rPr>
                <w:sz w:val="20"/>
                <w:szCs w:val="20"/>
                <w:color w:val="auto"/>
              </w:rPr>
            </w:pPr>
            <w:r>
              <w:rPr>
                <w:rFonts w:ascii="Arial" w:cs="Arial" w:eastAsia="Arial" w:hAnsi="Arial"/>
                <w:sz w:val="14"/>
                <w:szCs w:val="14"/>
                <w:b w:val="1"/>
                <w:bCs w:val="1"/>
                <w:color w:val="auto"/>
                <w:w w:val="98"/>
              </w:rPr>
              <w:t>Carrying/Fair</w:t>
            </w:r>
          </w:p>
        </w:tc>
        <w:tc>
          <w:tcPr>
            <w:tcW w:w="200" w:type="dxa"/>
            <w:vAlign w:val="bottom"/>
          </w:tcPr>
          <w:p>
            <w:pPr>
              <w:spacing w:after="0"/>
              <w:rPr>
                <w:sz w:val="14"/>
                <w:szCs w:val="14"/>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Carrying/Fair</w:t>
            </w:r>
          </w:p>
        </w:tc>
      </w:tr>
      <w:tr>
        <w:trPr>
          <w:trHeight w:val="149"/>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2"/>
                <w:szCs w:val="12"/>
                <w:color w:val="auto"/>
              </w:rPr>
            </w:pPr>
          </w:p>
        </w:tc>
        <w:tc>
          <w:tcPr>
            <w:tcW w:w="13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r>
      <w:tr>
        <w:trPr>
          <w:trHeight w:val="171"/>
        </w:trPr>
        <w:tc>
          <w:tcPr>
            <w:tcW w:w="4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175"/>
              <w:spacing w:after="0"/>
              <w:rPr>
                <w:sz w:val="20"/>
                <w:szCs w:val="20"/>
                <w:color w:val="auto"/>
              </w:rPr>
            </w:pPr>
            <w:r>
              <w:rPr>
                <w:rFonts w:ascii="Arial" w:cs="Arial" w:eastAsia="Arial" w:hAnsi="Arial"/>
                <w:sz w:val="14"/>
                <w:szCs w:val="14"/>
                <w:b w:val="1"/>
                <w:bCs w:val="1"/>
                <w:color w:val="auto"/>
                <w:w w:val="94"/>
              </w:rPr>
              <w:t>March 31, 2019</w:t>
            </w:r>
          </w:p>
        </w:tc>
        <w:tc>
          <w:tcPr>
            <w:tcW w:w="20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December 31, 2018</w:t>
            </w:r>
          </w:p>
        </w:tc>
      </w:tr>
      <w:tr>
        <w:trPr>
          <w:trHeight w:val="156"/>
        </w:trPr>
        <w:tc>
          <w:tcPr>
            <w:tcW w:w="49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800" w:type="dxa"/>
            <w:vAlign w:val="bottom"/>
            <w:tcBorders>
              <w:top w:val="single" w:sz="8" w:color="auto"/>
            </w:tcBorders>
            <w:gridSpan w:val="3"/>
          </w:tcPr>
          <w:p>
            <w:pPr>
              <w:jc w:val="right"/>
              <w:ind w:right="714"/>
              <w:spacing w:after="0" w:line="155" w:lineRule="exact"/>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3"/>
                <w:szCs w:val="13"/>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Financial instruments recorded as assets:</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4980" w:type="dxa"/>
            <w:vAlign w:val="bottom"/>
          </w:tcPr>
          <w:p>
            <w:pPr>
              <w:ind w:left="240"/>
              <w:spacing w:after="0"/>
              <w:rPr>
                <w:sz w:val="20"/>
                <w:szCs w:val="20"/>
                <w:color w:val="auto"/>
              </w:rPr>
            </w:pPr>
            <w:r>
              <w:rPr>
                <w:rFonts w:ascii="Arial" w:cs="Arial" w:eastAsia="Arial" w:hAnsi="Arial"/>
                <w:sz w:val="18"/>
                <w:szCs w:val="18"/>
                <w:color w:val="auto"/>
              </w:rPr>
              <w:t>Fixed maturity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195,753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184,475</w:t>
            </w:r>
          </w:p>
        </w:tc>
        <w:tc>
          <w:tcPr>
            <w:tcW w:w="60" w:type="dxa"/>
            <w:vAlign w:val="bottom"/>
          </w:tcPr>
          <w:p>
            <w:pPr>
              <w:spacing w:after="0"/>
              <w:rPr>
                <w:sz w:val="19"/>
                <w:szCs w:val="19"/>
                <w:color w:val="auto"/>
              </w:rPr>
            </w:pPr>
          </w:p>
        </w:tc>
      </w:tr>
      <w:tr>
        <w:trPr>
          <w:trHeight w:val="230"/>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3,806</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6,004</w:t>
            </w:r>
          </w:p>
        </w:tc>
        <w:tc>
          <w:tcPr>
            <w:tcW w:w="60" w:type="dxa"/>
            <w:vAlign w:val="bottom"/>
            <w:shd w:val="clear" w:color="auto" w:fill="CFF0FC"/>
          </w:tcPr>
          <w:p>
            <w:pPr>
              <w:spacing w:after="0"/>
              <w:rPr>
                <w:sz w:val="19"/>
                <w:szCs w:val="19"/>
                <w:color w:val="auto"/>
              </w:rPr>
            </w:pPr>
          </w:p>
        </w:tc>
      </w:tr>
      <w:tr>
        <w:trPr>
          <w:trHeight w:val="230"/>
        </w:trPr>
        <w:tc>
          <w:tcPr>
            <w:tcW w:w="4980" w:type="dxa"/>
            <w:vAlign w:val="bottom"/>
          </w:tcPr>
          <w:p>
            <w:pPr>
              <w:ind w:left="240"/>
              <w:spacing w:after="0"/>
              <w:rPr>
                <w:sz w:val="20"/>
                <w:szCs w:val="20"/>
                <w:color w:val="auto"/>
              </w:rPr>
            </w:pPr>
            <w:r>
              <w:rPr>
                <w:rFonts w:ascii="Arial" w:cs="Arial" w:eastAsia="Arial" w:hAnsi="Arial"/>
                <w:sz w:val="18"/>
                <w:szCs w:val="18"/>
                <w:color w:val="auto"/>
              </w:rPr>
              <w:t>Policy loans</w:t>
            </w:r>
          </w:p>
        </w:tc>
        <w:tc>
          <w:tcPr>
            <w:tcW w:w="14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9,488</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9,581</w:t>
            </w:r>
          </w:p>
        </w:tc>
        <w:tc>
          <w:tcPr>
            <w:tcW w:w="60" w:type="dxa"/>
            <w:vAlign w:val="bottom"/>
          </w:tcPr>
          <w:p>
            <w:pPr>
              <w:spacing w:after="0"/>
              <w:rPr>
                <w:sz w:val="19"/>
                <w:szCs w:val="19"/>
                <w:color w:val="auto"/>
              </w:rPr>
            </w:pPr>
          </w:p>
        </w:tc>
      </w:tr>
      <w:tr>
        <w:trPr>
          <w:trHeight w:val="230"/>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invested assets</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536</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FF0FC"/>
          </w:tcPr>
          <w:p>
            <w:pPr>
              <w:spacing w:after="0"/>
              <w:rPr>
                <w:sz w:val="19"/>
                <w:szCs w:val="19"/>
                <w:color w:val="auto"/>
              </w:rPr>
            </w:pPr>
          </w:p>
        </w:tc>
      </w:tr>
      <w:tr>
        <w:trPr>
          <w:trHeight w:val="230"/>
        </w:trPr>
        <w:tc>
          <w:tcPr>
            <w:tcW w:w="498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29,842</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33,252</w:t>
            </w:r>
          </w:p>
        </w:tc>
        <w:tc>
          <w:tcPr>
            <w:tcW w:w="60" w:type="dxa"/>
            <w:vAlign w:val="bottom"/>
          </w:tcPr>
          <w:p>
            <w:pPr>
              <w:spacing w:after="0"/>
              <w:rPr>
                <w:sz w:val="19"/>
                <w:szCs w:val="19"/>
                <w:color w:val="auto"/>
              </w:rPr>
            </w:pPr>
          </w:p>
        </w:tc>
      </w:tr>
      <w:tr>
        <w:trPr>
          <w:trHeight w:val="230"/>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Separate account</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22,922</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20,819</w:t>
            </w:r>
          </w:p>
        </w:tc>
        <w:tc>
          <w:tcPr>
            <w:tcW w:w="6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Financial instruments recorded as liabilities: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Policyholder account balance:</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4980" w:type="dxa"/>
            <w:vAlign w:val="bottom"/>
          </w:tcPr>
          <w:p>
            <w:pPr>
              <w:ind w:left="500"/>
              <w:spacing w:after="0"/>
              <w:rPr>
                <w:sz w:val="20"/>
                <w:szCs w:val="20"/>
                <w:color w:val="auto"/>
              </w:rPr>
            </w:pPr>
            <w:r>
              <w:rPr>
                <w:rFonts w:ascii="Arial" w:cs="Arial" w:eastAsia="Arial" w:hAnsi="Arial"/>
                <w:sz w:val="18"/>
                <w:szCs w:val="18"/>
                <w:color w:val="auto"/>
              </w:rPr>
              <w:t>Interest sensitive life contracts</w:t>
            </w:r>
          </w:p>
        </w:tc>
        <w:tc>
          <w:tcPr>
            <w:tcW w:w="14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41,718</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41,478</w:t>
            </w:r>
          </w:p>
        </w:tc>
        <w:tc>
          <w:tcPr>
            <w:tcW w:w="60" w:type="dxa"/>
            <w:vAlign w:val="bottom"/>
          </w:tcPr>
          <w:p>
            <w:pPr>
              <w:spacing w:after="0"/>
              <w:rPr>
                <w:sz w:val="19"/>
                <w:szCs w:val="19"/>
                <w:color w:val="auto"/>
              </w:rPr>
            </w:pPr>
          </w:p>
        </w:tc>
      </w:tr>
      <w:tr>
        <w:trPr>
          <w:trHeight w:val="230"/>
        </w:trPr>
        <w:tc>
          <w:tcPr>
            <w:tcW w:w="4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Annuities</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76,277</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74,820</w:t>
            </w:r>
          </w:p>
        </w:tc>
        <w:tc>
          <w:tcPr>
            <w:tcW w:w="60" w:type="dxa"/>
            <w:vAlign w:val="bottom"/>
            <w:shd w:val="clear" w:color="auto" w:fill="CFF0FC"/>
          </w:tcPr>
          <w:p>
            <w:pPr>
              <w:spacing w:after="0"/>
              <w:rPr>
                <w:sz w:val="19"/>
                <w:szCs w:val="19"/>
                <w:color w:val="auto"/>
              </w:rPr>
            </w:pPr>
          </w:p>
        </w:tc>
      </w:tr>
      <w:tr>
        <w:trPr>
          <w:trHeight w:val="230"/>
        </w:trPr>
        <w:tc>
          <w:tcPr>
            <w:tcW w:w="4980" w:type="dxa"/>
            <w:vAlign w:val="bottom"/>
          </w:tcPr>
          <w:p>
            <w:pPr>
              <w:ind w:left="240"/>
              <w:spacing w:after="0"/>
              <w:rPr>
                <w:sz w:val="20"/>
                <w:szCs w:val="20"/>
                <w:color w:val="auto"/>
              </w:rPr>
            </w:pPr>
            <w:r>
              <w:rPr>
                <w:rFonts w:ascii="Arial" w:cs="Arial" w:eastAsia="Arial" w:hAnsi="Arial"/>
                <w:sz w:val="18"/>
                <w:szCs w:val="18"/>
                <w:color w:val="auto"/>
              </w:rPr>
              <w:t xml:space="preserve">Dividend accumulations and other </w:t>
            </w:r>
            <w:r>
              <w:rPr>
                <w:rFonts w:ascii="Arial" w:cs="Arial" w:eastAsia="Arial" w:hAnsi="Arial"/>
                <w:sz w:val="15"/>
                <w:szCs w:val="15"/>
                <w:color w:val="auto"/>
              </w:rPr>
              <w:t>(1)</w:t>
            </w:r>
          </w:p>
        </w:tc>
        <w:tc>
          <w:tcPr>
            <w:tcW w:w="14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6,661</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6,705</w:t>
            </w:r>
          </w:p>
        </w:tc>
        <w:tc>
          <w:tcPr>
            <w:tcW w:w="60" w:type="dxa"/>
            <w:vAlign w:val="bottom"/>
          </w:tcPr>
          <w:p>
            <w:pPr>
              <w:spacing w:after="0"/>
              <w:rPr>
                <w:sz w:val="19"/>
                <w:szCs w:val="19"/>
                <w:color w:val="auto"/>
              </w:rPr>
            </w:pPr>
          </w:p>
        </w:tc>
      </w:tr>
      <w:tr>
        <w:trPr>
          <w:trHeight w:val="230"/>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Separate account</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22,922</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20,819</w:t>
            </w:r>
          </w:p>
        </w:tc>
        <w:tc>
          <w:tcPr>
            <w:tcW w:w="60" w:type="dxa"/>
            <w:vAlign w:val="bottom"/>
            <w:shd w:val="clear" w:color="auto" w:fill="CFF0FC"/>
          </w:tcPr>
          <w:p>
            <w:pPr>
              <w:spacing w:after="0"/>
              <w:rPr>
                <w:sz w:val="19"/>
                <w:szCs w:val="19"/>
                <w:color w:val="auto"/>
              </w:rPr>
            </w:pPr>
          </w:p>
        </w:tc>
      </w:tr>
    </w:tbl>
    <w:p>
      <w:pPr>
        <w:spacing w:after="0" w:line="260" w:lineRule="exact"/>
        <w:rPr>
          <w:sz w:val="20"/>
          <w:szCs w:val="20"/>
          <w:color w:val="auto"/>
        </w:rPr>
      </w:pPr>
    </w:p>
    <w:p>
      <w:pPr>
        <w:ind w:left="2080" w:hanging="370"/>
        <w:spacing w:after="0"/>
        <w:tabs>
          <w:tab w:leader="none" w:pos="2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included within Reserve for deposit type funds in the consolidated balance sheet</w:t>
      </w:r>
    </w:p>
    <w:p>
      <w:pPr>
        <w:spacing w:after="0" w:line="200" w:lineRule="exact"/>
        <w:rPr>
          <w:rFonts w:ascii="Arial" w:cs="Arial" w:eastAsia="Arial" w:hAnsi="Arial"/>
          <w:sz w:val="16"/>
          <w:szCs w:val="16"/>
          <w:color w:val="auto"/>
        </w:rPr>
      </w:pPr>
    </w:p>
    <w:p>
      <w:pPr>
        <w:spacing w:after="0" w:line="259"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hierarchy for inputs used in determining fair value maximizes the use of observable inputs and minimizes the use of unobservable inputs by requiring that observable inputs be used when available. Assets and liabilities recorded on the Consolidated Statements of Financial Position at fair value are categorized in the fair value hierarchy based on the observability of inputs to the valuation techniques as follows:</w:t>
      </w:r>
    </w:p>
    <w:p>
      <w:pPr>
        <w:spacing w:after="0" w:line="171" w:lineRule="exact"/>
        <w:rPr>
          <w:sz w:val="20"/>
          <w:szCs w:val="20"/>
          <w:color w:val="auto"/>
        </w:rPr>
      </w:pPr>
    </w:p>
    <w:p>
      <w:pPr>
        <w:ind w:left="520" w:right="600"/>
        <w:spacing w:after="0" w:line="277" w:lineRule="auto"/>
        <w:rPr>
          <w:sz w:val="20"/>
          <w:szCs w:val="20"/>
          <w:color w:val="auto"/>
        </w:rPr>
      </w:pPr>
      <w:r>
        <w:rPr>
          <w:rFonts w:ascii="Arial" w:cs="Arial" w:eastAsia="Arial" w:hAnsi="Arial"/>
          <w:sz w:val="18"/>
          <w:szCs w:val="18"/>
          <w:color w:val="auto"/>
        </w:rPr>
        <w:t>Level 1 – Assets and liabilities whose values are based on unadjusted quoted prices for identical assets or liabilities in an active market that the Company can access.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 Assets and liabilities whose values are based on the following:</w:t>
      </w:r>
    </w:p>
    <w:p>
      <w:pPr>
        <w:spacing w:after="0" w:line="117"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 or</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225" w:lineRule="exact"/>
        <w:rPr>
          <w:sz w:val="20"/>
          <w:szCs w:val="20"/>
          <w:color w:val="auto"/>
        </w:rPr>
      </w:pPr>
    </w:p>
    <w:p>
      <w:pPr>
        <w:jc w:val="both"/>
        <w:ind w:left="520" w:right="160"/>
        <w:spacing w:after="0" w:line="264" w:lineRule="auto"/>
        <w:rPr>
          <w:sz w:val="20"/>
          <w:szCs w:val="20"/>
          <w:color w:val="auto"/>
        </w:rPr>
      </w:pPr>
      <w:r>
        <w:rPr>
          <w:rFonts w:ascii="Arial" w:cs="Arial" w:eastAsia="Arial" w:hAnsi="Arial"/>
          <w:sz w:val="18"/>
          <w:szCs w:val="18"/>
          <w:color w:val="auto"/>
        </w:rPr>
        <w:t>Level 3 – Assets and liabilities whose values are based on prices or valuation techniques that are both unobservable and significant to the overall fair value measurement. Unobservable inputs reflect the Company’s estimates of the assumptions that market participants would use in valuing the assets and liabilities.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Summary of significant valuation techniques and inputs for assets and liabilities measured at fair value on a recurring basis: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measurements:</w:t>
      </w:r>
    </w:p>
    <w:p>
      <w:pPr>
        <w:spacing w:after="0" w:line="225" w:lineRule="exact"/>
        <w:rPr>
          <w:sz w:val="20"/>
          <w:szCs w:val="20"/>
          <w:color w:val="auto"/>
        </w:rPr>
      </w:pPr>
    </w:p>
    <w:p>
      <w:pPr>
        <w:ind w:left="520" w:right="420"/>
        <w:spacing w:after="0" w:line="277" w:lineRule="auto"/>
        <w:rPr>
          <w:sz w:val="20"/>
          <w:szCs w:val="20"/>
          <w:color w:val="auto"/>
        </w:rPr>
      </w:pPr>
      <w:r>
        <w:rPr>
          <w:rFonts w:ascii="Arial" w:cs="Arial" w:eastAsia="Arial" w:hAnsi="Arial"/>
          <w:sz w:val="18"/>
          <w:szCs w:val="18"/>
          <w:color w:val="auto"/>
        </w:rPr>
        <w:t>Fixed maturity securities: Comprised of U.S. Treasury and GNMA agency securities. Valuation is based on unadjusted quoted prices for identical assets in active markets that the Company can access.</w:t>
      </w:r>
    </w:p>
    <w:p>
      <w:pPr>
        <w:spacing w:after="0" w:line="170" w:lineRule="exact"/>
        <w:rPr>
          <w:sz w:val="20"/>
          <w:szCs w:val="20"/>
          <w:color w:val="auto"/>
        </w:rPr>
      </w:pPr>
    </w:p>
    <w:p>
      <w:pPr>
        <w:ind w:left="520" w:right="180"/>
        <w:spacing w:after="0" w:line="277" w:lineRule="auto"/>
        <w:rPr>
          <w:sz w:val="20"/>
          <w:szCs w:val="20"/>
          <w:color w:val="auto"/>
        </w:rPr>
      </w:pPr>
      <w:r>
        <w:rPr>
          <w:rFonts w:ascii="Arial" w:cs="Arial" w:eastAsia="Arial" w:hAnsi="Arial"/>
          <w:sz w:val="18"/>
          <w:szCs w:val="18"/>
          <w:color w:val="auto"/>
        </w:rPr>
        <w:t>Equities: Comprised of actively traded, exchange-listed equities. Valuation is based on unadjusted quoted prices for identical assets in active markets that the Company can access.</w:t>
      </w:r>
    </w:p>
    <w:p>
      <w:pPr>
        <w:spacing w:after="0" w:line="170" w:lineRule="exact"/>
        <w:rPr>
          <w:sz w:val="20"/>
          <w:szCs w:val="20"/>
          <w:color w:val="auto"/>
        </w:rPr>
      </w:pPr>
    </w:p>
    <w:p>
      <w:pPr>
        <w:ind w:left="520" w:right="600"/>
        <w:spacing w:after="0" w:line="277" w:lineRule="auto"/>
        <w:rPr>
          <w:sz w:val="20"/>
          <w:szCs w:val="20"/>
          <w:color w:val="auto"/>
        </w:rPr>
      </w:pPr>
      <w:r>
        <w:rPr>
          <w:rFonts w:ascii="Arial" w:cs="Arial" w:eastAsia="Arial" w:hAnsi="Arial"/>
          <w:sz w:val="18"/>
          <w:szCs w:val="18"/>
          <w:color w:val="auto"/>
        </w:rPr>
        <w:t>Other invested assets: Comprised of actively traded, exchange-listed derivative instruments. Valuation is based on unadjusted quoted prices for identical assets in active markets that the Company can access.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Cash Equivalents: Comprised of money market funds. Market values for the money market funds are obtained daily from the fund managers.</w:t>
      </w:r>
    </w:p>
    <w:p>
      <w:pPr>
        <w:spacing w:after="0" w:line="237" w:lineRule="exact"/>
        <w:rPr>
          <w:sz w:val="20"/>
          <w:szCs w:val="20"/>
          <w:color w:val="auto"/>
        </w:rPr>
      </w:pPr>
    </w:p>
    <w:p>
      <w:pPr>
        <w:ind w:left="520"/>
        <w:spacing w:after="0" w:line="342" w:lineRule="auto"/>
        <w:rPr>
          <w:sz w:val="20"/>
          <w:szCs w:val="20"/>
          <w:color w:val="auto"/>
        </w:rPr>
      </w:pPr>
      <w:r>
        <w:rPr>
          <w:rFonts w:ascii="Arial" w:cs="Arial" w:eastAsia="Arial" w:hAnsi="Arial"/>
          <w:sz w:val="16"/>
          <w:szCs w:val="16"/>
          <w:color w:val="auto"/>
        </w:rPr>
        <w:t>Separate account assets: Comprised of actively traded mutual funds that have daily quoted net asset values for identical assets that the Company can access. Market values for the actively traded mutual funds in which the separate account assets are invested are obtained daily from the fund managers.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measurements:</w:t>
      </w:r>
    </w:p>
    <w:p>
      <w:pPr>
        <w:spacing w:after="0" w:line="225" w:lineRule="exact"/>
        <w:rPr>
          <w:sz w:val="20"/>
          <w:szCs w:val="20"/>
          <w:color w:val="auto"/>
        </w:rPr>
      </w:pPr>
    </w:p>
    <w:p>
      <w:pPr>
        <w:ind w:left="520" w:right="20"/>
        <w:spacing w:after="0" w:line="302" w:lineRule="auto"/>
        <w:rPr>
          <w:sz w:val="20"/>
          <w:szCs w:val="20"/>
          <w:color w:val="auto"/>
        </w:rPr>
      </w:pPr>
      <w:r>
        <w:rPr>
          <w:rFonts w:ascii="Arial" w:cs="Arial" w:eastAsia="Arial" w:hAnsi="Arial"/>
          <w:sz w:val="16"/>
          <w:szCs w:val="16"/>
          <w:color w:val="auto"/>
        </w:rPr>
        <w:t>Fixed maturity securities: States, political subdivisions, and corporate securities: As valuation technique the pricing vendor employs multi-dimensional relational application model which uses standard inputs including benchmark yields, reported trades, broker/dealer quotes, issuer spreads, two-sided markets, benchmark securities, bids, offers, and reference data including market research publications. The pricing vendor also monitors market indicators, and industry and economic events. For high yield corporate securities, observations of equity and credit default swap curves are also used.</w:t>
      </w:r>
    </w:p>
    <w:p>
      <w:pPr>
        <w:spacing w:after="0" w:line="154" w:lineRule="exact"/>
        <w:rPr>
          <w:sz w:val="20"/>
          <w:szCs w:val="20"/>
          <w:color w:val="auto"/>
        </w:rPr>
      </w:pPr>
    </w:p>
    <w:p>
      <w:pPr>
        <w:ind w:left="520" w:right="60"/>
        <w:spacing w:after="0" w:line="257" w:lineRule="auto"/>
        <w:rPr>
          <w:sz w:val="20"/>
          <w:szCs w:val="20"/>
          <w:color w:val="auto"/>
        </w:rPr>
      </w:pPr>
      <w:r>
        <w:rPr>
          <w:rFonts w:ascii="Arial" w:cs="Arial" w:eastAsia="Arial" w:hAnsi="Arial"/>
          <w:sz w:val="18"/>
          <w:szCs w:val="18"/>
          <w:color w:val="auto"/>
        </w:rPr>
        <w:t>Residential mortgage-backed securities: As valuation technique the pricing vendor employs option-adjusted spread (“OAS”) model and prepayment model as well as volatility driven, multi-dimensional spread tables using standard inputs including benchmark yields, reported trades, broker/dealer quotes, issuer spreads, two-sided markets, benchmark securities, bids, offers, and reference data including market research publications plus new issue data, monthly prepayment information, and collateral performance. The pricing vendor also monitors market indicators, and industry and economic events.</w:t>
      </w:r>
    </w:p>
    <w:p>
      <w:pPr>
        <w:spacing w:after="0" w:line="188" w:lineRule="exact"/>
        <w:rPr>
          <w:sz w:val="20"/>
          <w:szCs w:val="20"/>
          <w:color w:val="auto"/>
        </w:rPr>
      </w:pPr>
    </w:p>
    <w:p>
      <w:pPr>
        <w:ind w:left="520" w:right="240"/>
        <w:spacing w:after="0" w:line="302" w:lineRule="auto"/>
        <w:rPr>
          <w:sz w:val="20"/>
          <w:szCs w:val="20"/>
          <w:color w:val="auto"/>
        </w:rPr>
      </w:pPr>
      <w:r>
        <w:rPr>
          <w:rFonts w:ascii="Arial" w:cs="Arial" w:eastAsia="Arial" w:hAnsi="Arial"/>
          <w:sz w:val="16"/>
          <w:szCs w:val="16"/>
          <w:color w:val="auto"/>
        </w:rPr>
        <w:t>Commercial mortgage-backed securities: As valuation technique the pricing vendor employs multi-dimensional spread table and price tables using standard inputs including benchmark yields, reported trades, broker/dealer quotes, issuer spreads, two-sided markets, benchmark securities, bids, offers, and reference data including market research publications plus new issue data, monthly prepayment information, collateral performance, and real estate analysis from third party. The pricing vendor also monitors market indicators, and industry and economic events.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3 measurements:</w:t>
      </w:r>
    </w:p>
    <w:p>
      <w:pPr>
        <w:spacing w:after="0" w:line="225" w:lineRule="exact"/>
        <w:rPr>
          <w:sz w:val="20"/>
          <w:szCs w:val="20"/>
          <w:color w:val="auto"/>
        </w:rPr>
      </w:pPr>
    </w:p>
    <w:p>
      <w:pPr>
        <w:ind w:left="520" w:right="60"/>
        <w:spacing w:after="0" w:line="264" w:lineRule="auto"/>
        <w:rPr>
          <w:sz w:val="20"/>
          <w:szCs w:val="20"/>
          <w:color w:val="auto"/>
        </w:rPr>
      </w:pPr>
      <w:r>
        <w:rPr>
          <w:rFonts w:ascii="Arial" w:cs="Arial" w:eastAsia="Arial" w:hAnsi="Arial"/>
          <w:sz w:val="18"/>
          <w:szCs w:val="18"/>
          <w:color w:val="auto"/>
        </w:rPr>
        <w:t>Equities: The primary inputs to the valuation include quoted prices for identical or similar assets in markets that exhibit less liquidity relative to those markets supporting Level 2 fair value measurements, contractual cash flows, benchmark yields, collateral performance, credit spreads, and other estimates including custody statements.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the Company’s securities measured at fair value on a recurring basis as of March 31, 2019 and December 31, 2018:</w:t>
      </w:r>
    </w:p>
    <w:p>
      <w:pPr>
        <w:spacing w:after="0" w:line="33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Recurring Fair Value Measurements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center"/>
              <w:ind w:right="16"/>
              <w:spacing w:after="0"/>
              <w:rPr>
                <w:sz w:val="20"/>
                <w:szCs w:val="20"/>
                <w:color w:val="auto"/>
              </w:rPr>
            </w:pPr>
            <w:r>
              <w:rPr>
                <w:rFonts w:ascii="Arial" w:cs="Arial" w:eastAsia="Arial" w:hAnsi="Arial"/>
                <w:sz w:val="14"/>
                <w:szCs w:val="14"/>
                <w:b w:val="1"/>
                <w:bCs w:val="1"/>
                <w:color w:val="auto"/>
                <w:w w:val="94"/>
              </w:rPr>
              <w:t>at March 31, 2019 Using:</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6"/>
              <w:spacing w:after="0" w:line="147"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r>
      <w:tr>
        <w:trPr>
          <w:trHeight w:val="162"/>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36"/>
              <w:spacing w:after="0"/>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Unobservable</w:t>
            </w:r>
          </w:p>
        </w:tc>
      </w:tr>
      <w:tr>
        <w:trPr>
          <w:trHeight w:val="162"/>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Inputs</w:t>
            </w:r>
          </w:p>
        </w:tc>
      </w:tr>
      <w:tr>
        <w:trPr>
          <w:trHeight w:val="171"/>
        </w:trPr>
        <w:tc>
          <w:tcPr>
            <w:tcW w:w="522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91"/>
              <w:spacing w:after="0"/>
              <w:rPr>
                <w:sz w:val="20"/>
                <w:szCs w:val="20"/>
                <w:color w:val="auto"/>
              </w:rPr>
            </w:pPr>
            <w:r>
              <w:rPr>
                <w:rFonts w:ascii="Arial" w:cs="Arial" w:eastAsia="Arial" w:hAnsi="Arial"/>
                <w:sz w:val="14"/>
                <w:szCs w:val="14"/>
                <w:b w:val="1"/>
                <w:bCs w:val="1"/>
                <w:color w:val="auto"/>
                <w:w w:val="96"/>
              </w:rPr>
              <w:t>Fair Values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r>
      <w:tr>
        <w:trPr>
          <w:trHeight w:val="156"/>
        </w:trPr>
        <w:tc>
          <w:tcPr>
            <w:tcW w:w="5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gridSpan w:val="4"/>
          </w:tcPr>
          <w:p>
            <w:pPr>
              <w:jc w:val="center"/>
              <w:ind w:right="36"/>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Fixed maturity securities: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U.S. government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4,104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4,104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States, political subdivisions, other</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34,387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34,387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110,985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110,985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Residential mortgage-backed securities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40,601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40,601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Commercial mortgage-backed securities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5,676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fixed maturities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195,753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191,649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 xml:space="preserve">Equities </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invested assets </w:t>
            </w:r>
            <w:r>
              <w:rPr>
                <w:rFonts w:ascii="Arial" w:cs="Arial" w:eastAsia="Arial" w:hAnsi="Arial"/>
                <w:sz w:val="15"/>
                <w:szCs w:val="15"/>
                <w:color w:val="auto"/>
              </w:rPr>
              <w:t>(2)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5"/>
                <w:szCs w:val="15"/>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29,842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29,842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Separate accounts </w:t>
            </w:r>
            <w:r>
              <w:rPr>
                <w:rFonts w:ascii="Arial" w:cs="Arial" w:eastAsia="Arial" w:hAnsi="Arial"/>
                <w:sz w:val="15"/>
                <w:szCs w:val="15"/>
                <w:color w:val="auto"/>
              </w:rPr>
              <w:t>(4)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250,594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58,945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191,649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0"/>
        </w:trPr>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Recurring Fair Value Measurements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center"/>
              <w:ind w:right="16"/>
              <w:spacing w:after="0"/>
              <w:rPr>
                <w:sz w:val="20"/>
                <w:szCs w:val="20"/>
                <w:color w:val="auto"/>
              </w:rPr>
            </w:pPr>
            <w:r>
              <w:rPr>
                <w:rFonts w:ascii="Arial" w:cs="Arial" w:eastAsia="Arial" w:hAnsi="Arial"/>
                <w:sz w:val="14"/>
                <w:szCs w:val="14"/>
                <w:b w:val="1"/>
                <w:bCs w:val="1"/>
                <w:color w:val="auto"/>
                <w:w w:val="91"/>
              </w:rPr>
              <w:t>at December 31, 2018 Using:</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6"/>
              <w:spacing w:after="0" w:line="147"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r>
      <w:tr>
        <w:trPr>
          <w:trHeight w:val="162"/>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36"/>
              <w:spacing w:after="0"/>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Unobservable</w:t>
            </w:r>
          </w:p>
        </w:tc>
      </w:tr>
      <w:tr>
        <w:trPr>
          <w:trHeight w:val="162"/>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Inputs</w:t>
            </w:r>
          </w:p>
        </w:tc>
      </w:tr>
      <w:tr>
        <w:trPr>
          <w:trHeight w:val="171"/>
        </w:trPr>
        <w:tc>
          <w:tcPr>
            <w:tcW w:w="522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91"/>
              <w:spacing w:after="0"/>
              <w:rPr>
                <w:sz w:val="20"/>
                <w:szCs w:val="20"/>
                <w:color w:val="auto"/>
              </w:rPr>
            </w:pPr>
            <w:r>
              <w:rPr>
                <w:rFonts w:ascii="Arial" w:cs="Arial" w:eastAsia="Arial" w:hAnsi="Arial"/>
                <w:sz w:val="14"/>
                <w:szCs w:val="14"/>
                <w:b w:val="1"/>
                <w:bCs w:val="1"/>
                <w:color w:val="auto"/>
                <w:w w:val="96"/>
              </w:rPr>
              <w:t>Fair Values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r>
      <w:tr>
        <w:trPr>
          <w:trHeight w:val="156"/>
        </w:trPr>
        <w:tc>
          <w:tcPr>
            <w:tcW w:w="5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gridSpan w:val="4"/>
          </w:tcPr>
          <w:p>
            <w:pPr>
              <w:jc w:val="center"/>
              <w:ind w:right="36"/>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Fixed maturity securities: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U.S. government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4,057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4,057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States, political subdivisions, other</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106,286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106,286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Residential mortgage-backed securities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37,522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37,522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Commercial mortgage-backed securities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5,621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fixed maturities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184,475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180,418</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 xml:space="preserve">Equities </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Other invested assets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5"/>
                <w:szCs w:val="15"/>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33,252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33,252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Separate accounts </w:t>
            </w:r>
            <w:r>
              <w:rPr>
                <w:rFonts w:ascii="Arial" w:cs="Arial" w:eastAsia="Arial" w:hAnsi="Arial"/>
                <w:sz w:val="15"/>
                <w:szCs w:val="15"/>
                <w:color w:val="auto"/>
              </w:rPr>
              <w:t>(4)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242,515</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62,087</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180,418</w:t>
            </w:r>
          </w:p>
        </w:tc>
        <w:tc>
          <w:tcPr>
            <w:tcW w:w="240" w:type="dxa"/>
            <w:vAlign w:val="bottom"/>
            <w:gridSpan w:val="2"/>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960" w:hanging="385"/>
        <w:spacing w:after="0" w:line="291"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Certain equity investments for which the fair value, of $2.3 million and $2.2 million as of March 31, 2019 and December 31, 2018, respectively, is measured using the net asset value per share (or its equivalent) practical expedient have been excluded from the fair value hierarchy, above.</w:t>
      </w:r>
    </w:p>
    <w:p>
      <w:pPr>
        <w:ind w:left="960" w:hanging="385"/>
        <w:spacing w:after="0" w:line="290" w:lineRule="auto"/>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Company’s investment in FHLB common stock for which the fair value, of $10,000 at March 31, 2019 and December 31, 2018, is based on its redemption value, effective January 1, 2019 (see Note 2), has been excluded from the fair value hierarchy, above.</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960" w:right="80" w:hanging="385"/>
        <w:spacing w:after="0" w:line="274"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Cash equivalents are invested in money market funds with daily liquidity. The estimated fair value of cash equivalents is based on the estimated fair value of the underlying assets as provided by fund managers in daily net asset values and included in Level 1 assets.</w:t>
      </w:r>
    </w:p>
    <w:p>
      <w:pPr>
        <w:ind w:left="960" w:right="140" w:hanging="385"/>
        <w:spacing w:after="0" w:line="323"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Separate account assets are invested in money market funds with daily liquidity. The estimated fair value of separate account assets is based on the estimated fair value of the underlying assets as provided by fund managers in daily net asset values and included in Level 1 assets.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were no Level 3 purchases, issuances, sales, settlements, or transfers during the three month periods ended March 31, 2019 and March 31, 2018.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7.</w:t>
            </w:r>
          </w:p>
        </w:tc>
        <w:tc>
          <w:tcPr>
            <w:tcW w:w="564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Accumulated Other Comprehensive Income</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340" w:type="dxa"/>
            <w:vAlign w:val="bottom"/>
          </w:tcPr>
          <w:p>
            <w:pPr>
              <w:spacing w:after="0"/>
              <w:rPr>
                <w:sz w:val="24"/>
                <w:szCs w:val="24"/>
                <w:color w:val="auto"/>
              </w:rPr>
            </w:pPr>
          </w:p>
        </w:tc>
        <w:tc>
          <w:tcPr>
            <w:tcW w:w="5640" w:type="dxa"/>
            <w:vAlign w:val="bottom"/>
            <w:gridSpan w:val="2"/>
          </w:tcPr>
          <w:p>
            <w:pPr>
              <w:ind w:left="180"/>
              <w:spacing w:after="0"/>
              <w:rPr>
                <w:sz w:val="20"/>
                <w:szCs w:val="20"/>
                <w:color w:val="auto"/>
              </w:rPr>
            </w:pPr>
            <w:r>
              <w:rPr>
                <w:rFonts w:ascii="Arial" w:cs="Arial" w:eastAsia="Arial" w:hAnsi="Arial"/>
                <w:sz w:val="18"/>
                <w:szCs w:val="18"/>
                <w:color w:val="auto"/>
              </w:rPr>
              <w:t>The components of AOCI are as follows: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0"/>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r>
      <w:tr>
        <w:trPr>
          <w:trHeight w:val="162"/>
        </w:trPr>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r>
      <w:tr>
        <w:trPr>
          <w:trHeight w:val="162"/>
        </w:trPr>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Investment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r>
      <w:tr>
        <w:trPr>
          <w:trHeight w:val="171"/>
        </w:trPr>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Gains (losses)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Shadow DAC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Income (loss)</w:t>
            </w:r>
          </w:p>
        </w:tc>
      </w:tr>
      <w:tr>
        <w:trPr>
          <w:trHeight w:val="156"/>
        </w:trPr>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w w:val="90"/>
              </w:rPr>
              <w:t>(Dollars in thousands)</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5,359</w:t>
            </w:r>
          </w:p>
        </w:tc>
        <w:tc>
          <w:tcPr>
            <w:tcW w:w="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(602)</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4,757</w:t>
            </w:r>
          </w:p>
        </w:tc>
        <w:tc>
          <w:tcPr>
            <w:tcW w:w="8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Available-for-sale investment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gains (losses) arising during the year:</w:t>
            </w: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20" w:type="dxa"/>
            <w:vAlign w:val="bottom"/>
          </w:tcPr>
          <w:p>
            <w:pPr>
              <w:ind w:left="600"/>
              <w:spacing w:after="0"/>
              <w:rPr>
                <w:sz w:val="20"/>
                <w:szCs w:val="20"/>
                <w:color w:val="auto"/>
              </w:rPr>
            </w:pPr>
            <w:r>
              <w:rPr>
                <w:rFonts w:ascii="Arial" w:cs="Arial" w:eastAsia="Arial" w:hAnsi="Arial"/>
                <w:sz w:val="18"/>
                <w:szCs w:val="18"/>
                <w:color w:val="auto"/>
              </w:rPr>
              <w:t>Fixed maturity securities net of tax benefit of $207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(7,372)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(7,372)</w:t>
            </w: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20" w:type="dxa"/>
            <w:vAlign w:val="bottom"/>
            <w:shd w:val="clear" w:color="auto" w:fill="CFF0FC"/>
          </w:tcPr>
          <w:p>
            <w:pPr>
              <w:ind w:left="600"/>
              <w:spacing w:after="0"/>
              <w:rPr>
                <w:sz w:val="20"/>
                <w:szCs w:val="20"/>
                <w:color w:val="auto"/>
              </w:rPr>
            </w:pPr>
            <w:r>
              <w:rPr>
                <w:rFonts w:ascii="Arial" w:cs="Arial" w:eastAsia="Arial" w:hAnsi="Arial"/>
                <w:sz w:val="18"/>
                <w:szCs w:val="18"/>
                <w:color w:val="auto"/>
              </w:rPr>
              <w:t>Equity securities net of tax benefit of $63</w:t>
            </w: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(235)</w:t>
            </w: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Change in Shadow DAC net of tax of $235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885</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885</w:t>
            </w:r>
          </w:p>
        </w:tc>
        <w:tc>
          <w:tcPr>
            <w:tcW w:w="8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2018</w:t>
            </w:r>
          </w:p>
        </w:tc>
        <w:tc>
          <w:tcPr>
            <w:tcW w:w="5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(2,248)</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Available-for-sale investment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gains (losses) arising during the period:</w:t>
            </w: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20" w:type="dxa"/>
            <w:vAlign w:val="bottom"/>
          </w:tcPr>
          <w:p>
            <w:pPr>
              <w:ind w:left="600"/>
              <w:spacing w:after="0"/>
              <w:rPr>
                <w:sz w:val="20"/>
                <w:szCs w:val="20"/>
                <w:color w:val="auto"/>
              </w:rPr>
            </w:pPr>
            <w:r>
              <w:rPr>
                <w:rFonts w:ascii="Arial" w:cs="Arial" w:eastAsia="Arial" w:hAnsi="Arial"/>
                <w:sz w:val="18"/>
                <w:szCs w:val="18"/>
                <w:color w:val="auto"/>
              </w:rPr>
              <w:t>Fixed maturity securities net of tax of $742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4,997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4,997</w:t>
            </w:r>
          </w:p>
        </w:tc>
        <w:tc>
          <w:tcPr>
            <w:tcW w:w="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Shadow DAC net of tax benefit of $172</w:t>
            </w: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(649)</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(649)</w:t>
            </w:r>
          </w:p>
        </w:tc>
      </w:tr>
      <w:tr>
        <w:trPr>
          <w:trHeight w:val="215"/>
        </w:trPr>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Cumulative net effect of adoption of new accounting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20" w:type="dxa"/>
            <w:vAlign w:val="bottom"/>
          </w:tcPr>
          <w:p>
            <w:pPr>
              <w:ind w:left="380"/>
              <w:spacing w:after="0"/>
              <w:rPr>
                <w:sz w:val="20"/>
                <w:szCs w:val="20"/>
                <w:color w:val="auto"/>
              </w:rPr>
            </w:pPr>
            <w:r>
              <w:rPr>
                <w:rFonts w:ascii="Arial" w:cs="Arial" w:eastAsia="Arial" w:hAnsi="Arial"/>
                <w:sz w:val="18"/>
                <w:szCs w:val="18"/>
                <w:color w:val="auto"/>
              </w:rPr>
              <w:t xml:space="preserve">principle </w:t>
            </w:r>
            <w:r>
              <w:rPr>
                <w:rFonts w:ascii="Arial" w:cs="Arial" w:eastAsia="Arial" w:hAnsi="Arial"/>
                <w:sz w:val="15"/>
                <w:szCs w:val="15"/>
                <w:color w:val="auto"/>
              </w:rPr>
              <w:t>(1)</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(1,160)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(1,160)</w:t>
            </w:r>
          </w:p>
        </w:tc>
      </w:tr>
      <w:tr>
        <w:trPr>
          <w:trHeight w:val="223"/>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2019</w:t>
            </w: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140"/>
        <w:spacing w:after="0"/>
        <w:tabs>
          <w:tab w:leader="none" w:pos="1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This amount is the net effect of adopting ASU No. 2016-01 as discussed in Note 3.</w:t>
      </w:r>
    </w:p>
    <w:p>
      <w:pPr>
        <w:spacing w:after="0" w:line="279"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AOCI includes gross unrealized gains and losses on debt and equity securities, as well as shadow DAC. This value is presented net of tax. Equity securities were removed from this table upon adoption of ASU No. 2016-01 at January 1, 2019.</w:t>
      </w:r>
    </w:p>
    <w:p>
      <w:pPr>
        <w:spacing w:after="0" w:line="275"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firstLine="518"/>
        <w:spacing w:after="0" w:line="308" w:lineRule="auto"/>
        <w:rPr>
          <w:sz w:val="20"/>
          <w:szCs w:val="20"/>
          <w:color w:val="auto"/>
        </w:rPr>
      </w:pPr>
      <w:r>
        <w:rPr>
          <w:rFonts w:ascii="Arial" w:cs="Arial" w:eastAsia="Arial" w:hAnsi="Arial"/>
          <w:sz w:val="17"/>
          <w:szCs w:val="17"/>
          <w:color w:val="auto"/>
        </w:rPr>
        <w:t>Effective 2016, the parent holding company and subsidiaries files a consolidated federal income tax return. Tax years 2015 through 2018 are subject to examination by the IRS. Prior to 2016, consolidated federal income tax returns were filed under Federal Life as the ultimate parent.</w:t>
      </w:r>
    </w:p>
    <w:p>
      <w:pPr>
        <w:spacing w:after="0" w:line="14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Internal Revenue Code Section 382 (“Section 382”) limits how much of a loss carryforward can be used to offset taxable income when there is a change of ownership. The Company will be restricted in its ability to utilize loss carryforwards as a result of a 2018 change in ownership. The annual limit is estimated to be approximately $1.0 million and the total limit is estimated to be approximately $15.0 million.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Company has recorded a net deferred tax liability of $0.1 million reflecting a deferred tax liability of $0.6 million from unrealized gains on securities offset by a $0.5 million deferred tax asset, the partial benefit of $15.0 million in loss carryforwards, of which $13.1 million expire in varying amounts between 2025 and 2032. Realization of this asset is dependent on generating sufficient taxable income prior to expiration of the loss carryforwards. A valuation allowance has been established to account for the Company’s assessment that the entire loss carryforward will likely not be recovered. Although realization of the net deferred tax asset is not assured, management believes it is more likely than not that all of the net deferred tax asset will be realized. The amount of the net deferred tax asset considered realizable, however, could be reduced in the near term if estimates of future taxable income during the carryforward period are reduced.</w:t>
      </w:r>
    </w:p>
    <w:p>
      <w:pPr>
        <w:spacing w:after="0" w:line="189"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The Company had no liability for unrecognized tax benefits at March 31, 2019 or December 31, 2018 and believes it is reasonably possible that the liability will not significantly increase within the next twelve months. No amounts have been accrued for interest or penalties.</w:t>
      </w:r>
    </w:p>
    <w:p>
      <w:pPr>
        <w:spacing w:after="0" w:line="14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Tax Act limits life reserves for tax purposes to the greater of net surrender value or 92.81% of required reserves. It is not estimated that this will have a meaningful impact to the net admitted assets on the Company’s balance sheet.</w:t>
      </w:r>
    </w:p>
    <w:p>
      <w:pPr>
        <w:spacing w:after="0" w:line="19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 federal income tax provisions differ from the amounts determined by multiplying pre-tax income attributable to the Company by the statutory federal income tax rate of 21% for March 31, 2019 and March 31, 2018, as shown below.</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benefits at statutory rate</w:t>
            </w:r>
          </w:p>
        </w:tc>
        <w:tc>
          <w:tcPr>
            <w:tcW w:w="1860" w:type="dxa"/>
            <w:vAlign w:val="bottom"/>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(29)</w:t>
            </w:r>
          </w:p>
        </w:tc>
        <w:tc>
          <w:tcPr>
            <w:tcW w:w="540" w:type="dxa"/>
            <w:vAlign w:val="bottom"/>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9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w:t>
            </w:r>
          </w:p>
        </w:tc>
        <w:tc>
          <w:tcPr>
            <w:tcW w:w="540" w:type="dxa"/>
            <w:vAlign w:val="bottom"/>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Effective tax rate</w:t>
            </w:r>
          </w:p>
        </w:tc>
        <w:tc>
          <w:tcPr>
            <w:tcW w:w="9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4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5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121" w:lineRule="exact"/>
        <w:rPr>
          <w:sz w:val="20"/>
          <w:szCs w:val="20"/>
          <w:color w:val="auto"/>
        </w:rPr>
      </w:pPr>
    </w:p>
    <w:p>
      <w:pPr>
        <w:ind w:right="560" w:firstLine="518"/>
        <w:spacing w:after="0" w:line="264" w:lineRule="auto"/>
        <w:rPr>
          <w:sz w:val="20"/>
          <w:szCs w:val="20"/>
          <w:color w:val="auto"/>
        </w:rPr>
      </w:pPr>
      <w:r>
        <w:rPr>
          <w:rFonts w:ascii="Arial" w:cs="Arial" w:eastAsia="Arial" w:hAnsi="Arial"/>
          <w:sz w:val="18"/>
          <w:szCs w:val="18"/>
          <w:color w:val="auto"/>
        </w:rPr>
        <w:t>The Company is involved in various legal actions for which it will establish liabilities where appropriate. In the opinion of the Company’s management, based on the advice of legal counsel, the resolution of such litigation is not expected to have a material adverse effect on the Company’s financial position, results of operations or cash flows.</w:t>
      </w:r>
    </w:p>
    <w:p>
      <w:pPr>
        <w:spacing w:after="0" w:line="285"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Debt and Federal Home Loan Bank Advances</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 has not issued any debt or other credit obligations as of March 31, 2019 or December 31, 2018. The Company has no commitments in the form of loan guarantees. Federal Life is a member of the FHLB and has access to various advances and other funding products. As of March 31, 2019 and December 31, 2018, there are no advances or other credit outstanding with the FHLB.</w:t>
      </w:r>
    </w:p>
    <w:p>
      <w:pPr>
        <w:spacing w:after="0" w:line="285"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All the outstanding shares of Americana and FED Mutual are owned by Federal Life. Federal Life is owned by FEDHO Holding Company, which is controlled by Federal Life Holding Company which is owned by Federal Life Group.</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For the three months ended March 31, 2019 and March 31, 2018, Americana paid $135,000 and $41,000, respectively, in common stock dividends to Federal Life. As of March 31, 2019, and December 31, 2018, Americana reported $200,000 and $78,000, respectively, as dividends due to its parent company, Federal Life. This amount is generally settled within 60 days. Federal Life provides financial support for Fed Mutual to continue its operations. All related party transactions eliminate in consolidation.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12.</w:t>
            </w:r>
          </w:p>
        </w:tc>
        <w:tc>
          <w:tcPr>
            <w:tcW w:w="5680" w:type="dxa"/>
            <w:vAlign w:val="bottom"/>
            <w:gridSpan w:val="2"/>
          </w:tcPr>
          <w:p>
            <w:pPr>
              <w:ind w:left="140"/>
              <w:spacing w:after="0"/>
              <w:rPr>
                <w:sz w:val="20"/>
                <w:szCs w:val="20"/>
                <w:color w:val="auto"/>
              </w:rPr>
            </w:pPr>
            <w:r>
              <w:rPr>
                <w:rFonts w:ascii="Arial" w:cs="Arial" w:eastAsia="Arial" w:hAnsi="Arial"/>
                <w:sz w:val="18"/>
                <w:szCs w:val="18"/>
                <w:b w:val="1"/>
                <w:bCs w:val="1"/>
                <w:color w:val="auto"/>
              </w:rPr>
              <w:t>Earnings Per Share</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24"/>
                <w:szCs w:val="2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Pro Forma for the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2019</w:t>
            </w:r>
          </w:p>
        </w:tc>
        <w:tc>
          <w:tcPr>
            <w:tcW w:w="140" w:type="dxa"/>
            <w:vAlign w:val="bottom"/>
          </w:tcPr>
          <w:p>
            <w:pPr>
              <w:spacing w:after="0"/>
              <w:rPr>
                <w:sz w:val="14"/>
                <w:szCs w:val="1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2018</w:t>
            </w: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420" w:type="dxa"/>
            <w:vAlign w:val="bottom"/>
            <w:tcBorders>
              <w:top w:val="single" w:sz="8" w:color="auto"/>
            </w:tcBorders>
            <w:gridSpan w:val="4"/>
          </w:tcPr>
          <w:p>
            <w:pPr>
              <w:jc w:val="right"/>
              <w:ind w:right="335"/>
              <w:spacing w:after="0" w:line="155" w:lineRule="exact"/>
              <w:rPr>
                <w:sz w:val="20"/>
                <w:szCs w:val="20"/>
                <w:color w:val="auto"/>
              </w:rPr>
            </w:pPr>
            <w:r>
              <w:rPr>
                <w:rFonts w:ascii="Arial" w:cs="Arial" w:eastAsia="Arial" w:hAnsi="Arial"/>
                <w:sz w:val="14"/>
                <w:szCs w:val="14"/>
                <w:b w:val="1"/>
                <w:bCs w:val="1"/>
                <w:color w:val="auto"/>
                <w:w w:val="99"/>
              </w:rPr>
              <w:t>(Dollars in thousands, except per share data)</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loss - numerator for earnings per common</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340" w:type="dxa"/>
            <w:vAlign w:val="bottom"/>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4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Weighted average basic common shares</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34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3,530,250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3,530,150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Effect of dilutive securities:</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Stock options</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215,000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stock awards</w:t>
            </w:r>
          </w:p>
        </w:tc>
        <w:tc>
          <w:tcPr>
            <w:tcW w:w="1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140,000</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5680" w:type="dxa"/>
            <w:vAlign w:val="bottom"/>
            <w:gridSpan w:val="2"/>
          </w:tcPr>
          <w:p>
            <w:pPr>
              <w:ind w:left="1340"/>
              <w:spacing w:after="0"/>
              <w:rPr>
                <w:sz w:val="20"/>
                <w:szCs w:val="20"/>
                <w:color w:val="auto"/>
              </w:rPr>
            </w:pPr>
            <w:r>
              <w:rPr>
                <w:rFonts w:ascii="Arial" w:cs="Arial" w:eastAsia="Arial" w:hAnsi="Arial"/>
                <w:sz w:val="18"/>
                <w:szCs w:val="18"/>
                <w:color w:val="auto"/>
              </w:rPr>
              <w:t>Denominator for earnings per diluted common</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3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3,885,250</w:t>
            </w:r>
          </w:p>
        </w:tc>
        <w:tc>
          <w:tcPr>
            <w:tcW w:w="20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3,885,150</w:t>
            </w:r>
          </w:p>
        </w:tc>
        <w:tc>
          <w:tcPr>
            <w:tcW w:w="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Basic loss per common share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Diluted loss per common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amounts disclosed above include 140,000 shares that were granted as restricted stock awards to the Company’s executive officers at the closing of the offerings associated with the Company’s IPO. No effect has been given to any issuances of additional shares in connection with the grant of options or awards of stock under the stock-based incentive plan adopted by the Company. Under the stock-based incentive plan, the Company may issue 480,000 shares of its common stock. Of this, 140,000 shares were granted as restricted stock awards and 215,000 shares were used to award stock options under the stock-based incentive plan. The issuance of authorized but unissued shares of common stock upon the exercise of stock options or for purposes of making restricted stock awards under the stock-based incentive plan instead of open market purchases would dilute the voting interests of existing shareholders by approximately 12%.</w:t>
      </w:r>
    </w:p>
    <w:p>
      <w:pPr>
        <w:spacing w:after="0" w:line="293"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On April 4, 2019, the Company filed with the SEC a Form 25, notification to voluntarily delist from the Nasdaq Capital Market and announced that it anticipates that its common stock will be quoted on the OTC Pink Open Market following the Nasdaq delisting. The delisting was effective April 14, 2019 and the Company’s stock began trading on the OTC Pink Open Market on April 15, 2019 under the symbol “FLFG”.</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740" w:firstLine="518"/>
        <w:spacing w:after="0" w:line="342" w:lineRule="auto"/>
        <w:rPr>
          <w:sz w:val="20"/>
          <w:szCs w:val="20"/>
          <w:color w:val="auto"/>
        </w:rPr>
      </w:pPr>
      <w:r>
        <w:rPr>
          <w:rFonts w:ascii="Arial" w:cs="Arial" w:eastAsia="Arial" w:hAnsi="Arial"/>
          <w:sz w:val="16"/>
          <w:szCs w:val="16"/>
          <w:color w:val="auto"/>
        </w:rPr>
        <w:t>This section includes a summary of the Company’s consolidated results of operations, financial condition and where appropriate, factors that management believes may affect future performance. The Company’s operations represent substantially all of the business of FLG.</w:t>
      </w:r>
    </w:p>
    <w:p>
      <w:pPr>
        <w:spacing w:after="0" w:line="124"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unaudited consolidated financial statements and notes thereto appearing elsewhere in this Form 10-Q, and the audited consolidated financial statements, notes thereto and selected consolidated financial data appearing in our 2018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160" w:firstLine="518"/>
        <w:spacing w:after="0" w:line="272" w:lineRule="auto"/>
        <w:rPr>
          <w:sz w:val="20"/>
          <w:szCs w:val="20"/>
          <w:color w:val="auto"/>
        </w:rPr>
      </w:pPr>
      <w:r>
        <w:rPr>
          <w:rFonts w:ascii="Arial" w:cs="Arial" w:eastAsia="Arial" w:hAnsi="Arial"/>
          <w:sz w:val="17"/>
          <w:szCs w:val="17"/>
          <w:color w:val="auto"/>
        </w:rPr>
        <w:t>This Form 10-Q contains “forward-looking” statements that are intended to enhance the reader’s ability to assess our future financial and business performance. Forward-looking statements include, but are not limited to, statements that represent our beliefs concerning future operations, strategies, financial results or other developments, and contain words and phrases such as “may,” “expects,” “should,” “believes,” “anticipates,” “estimates,” “intends” or similar expressions. In addition, statements that refer to our future financial performance, anticipated growth, trends in our business and in our industry, and other characterizations of future events or circumstances are forward-looking statements. Because these forward-looking statements are based on estimates and assumptions that are subject to significant business, economic, and competitive uncertainties, many of which are beyond our control or are subject to change, actual results could be materially different.</w:t>
      </w:r>
    </w:p>
    <w:p>
      <w:pPr>
        <w:spacing w:after="0" w:line="178"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Consequently, such forward-looking statements should be regarded solely as our current plans, estimates, and beliefs with respect to, among other things, future events and financial performance. Except as required under the federal securities laws, we do not intend, and do not undertake, any obligation to update any forward-looking statements to reflect future events or circumstances after the date of such statements.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forward-looking statements include, among other things, those listed below:</w:t>
      </w:r>
    </w:p>
    <w:p>
      <w:pPr>
        <w:spacing w:after="0" w:line="117" w:lineRule="exact"/>
        <w:rPr>
          <w:sz w:val="20"/>
          <w:szCs w:val="20"/>
          <w:color w:val="auto"/>
        </w:rPr>
      </w:pPr>
    </w:p>
    <w:p>
      <w:pPr>
        <w:ind w:left="1040" w:right="12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economic conditions in the markets in which we compete that could be less favorable than expected and could have impacts on demand for our products and services;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grow and develop our insurance business and successfully develop and market new products and new distribution channels;</w:t>
      </w:r>
    </w:p>
    <w:p>
      <w:pPr>
        <w:spacing w:after="0" w:line="128" w:lineRule="exact"/>
        <w:rPr>
          <w:rFonts w:ascii="Arial" w:cs="Arial" w:eastAsia="Arial" w:hAnsi="Arial"/>
          <w:sz w:val="17"/>
          <w:szCs w:val="17"/>
          <w:color w:val="auto"/>
        </w:rPr>
      </w:pPr>
    </w:p>
    <w:p>
      <w:pPr>
        <w:ind w:left="1040" w:right="3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maintain or grow our strategic partnerships or our inability to realize synergies from our relationship with Insurance Capital Group, our controlling shareholder;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manage future growth and integration of any businesses that we may acquire;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enter new markets successfully and capitalize on growth opportunities either through acquisitions or organically;</w:t>
      </w:r>
    </w:p>
    <w:p>
      <w:pPr>
        <w:spacing w:after="0" w:line="117"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market conditions, including, but not limited to, changes in interest rates and the level and trends of stock market prices causing a reduction of investment income or realized losses and reduction in the value of our investment portfolios;</w:t>
      </w:r>
    </w:p>
    <w:p>
      <w:pPr>
        <w:spacing w:after="0" w:line="62" w:lineRule="exact"/>
        <w:rPr>
          <w:rFonts w:ascii="Arial" w:cs="Arial" w:eastAsia="Arial" w:hAnsi="Arial"/>
          <w:sz w:val="18"/>
          <w:szCs w:val="18"/>
          <w:color w:val="auto"/>
        </w:rPr>
      </w:pPr>
    </w:p>
    <w:p>
      <w:pPr>
        <w:jc w:val="both"/>
        <w:ind w:left="1040" w:right="140" w:hanging="519"/>
        <w:spacing w:after="0" w:line="259"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competition in our business, including the potential impacts of aggressive price competition by other insurance companies, payment of higher commissions to agents that could affect demand for our insurance products and impact the ability to grow and retain agents, and the entry of new competitors and the development of new products by new or existing competitors, resulting in a reduction in the demand for our products and services;</w:t>
      </w:r>
    </w:p>
    <w:p>
      <w:pPr>
        <w:spacing w:after="0" w:line="78"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legislative, judicial, economic, demographic and regulatory events in the jurisdictions where we do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availability and collectability of reinsurance;</w:t>
      </w:r>
    </w:p>
    <w:p>
      <w:pPr>
        <w:spacing w:after="0" w:line="117" w:lineRule="exact"/>
        <w:rPr>
          <w:rFonts w:ascii="Arial" w:cs="Arial" w:eastAsia="Arial" w:hAnsi="Arial"/>
          <w:sz w:val="18"/>
          <w:szCs w:val="18"/>
          <w:color w:val="auto"/>
        </w:rPr>
      </w:pPr>
    </w:p>
    <w:p>
      <w:pPr>
        <w:ind w:left="1040" w:right="680" w:hanging="519"/>
        <w:spacing w:after="0" w:line="308"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potential impact on our reported net income that could result from the adoption of future accounting standards issued by the Public Company Accounting Oversight Board or the Financial Accounting Standards Board or other standard-setting bodies; and</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industry trends and financial strength ratings assigned by nationally recognized rating organizations.</w:t>
      </w:r>
    </w:p>
    <w:p>
      <w:pPr>
        <w:spacing w:after="0" w:line="225" w:lineRule="exact"/>
        <w:rPr>
          <w:sz w:val="20"/>
          <w:szCs w:val="20"/>
          <w:color w:val="auto"/>
        </w:rPr>
      </w:pPr>
    </w:p>
    <w:p>
      <w:pPr>
        <w:ind w:right="40" w:firstLine="518"/>
        <w:spacing w:after="0" w:line="308" w:lineRule="auto"/>
        <w:rPr>
          <w:sz w:val="20"/>
          <w:szCs w:val="20"/>
          <w:color w:val="auto"/>
        </w:rPr>
      </w:pPr>
      <w:r>
        <w:rPr>
          <w:rFonts w:ascii="Arial" w:cs="Arial" w:eastAsia="Arial" w:hAnsi="Arial"/>
          <w:sz w:val="17"/>
          <w:szCs w:val="17"/>
          <w:color w:val="auto"/>
        </w:rPr>
        <w:t>Please note, our 2018 10-K contains other information on factors that may affect financial results or cause actual results to differ materially from those contained in forward-looking statements. See the “Management’s Discussion and Analysis” section of the 2018 10-K for additional information.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We provide life insurance protection targeted to middle class America. Industry data indicates there is a substantial unmet need for life insurance, particularly among domestic households with annual incomes of between $40,000 and $125,000, a market we refer to as the Middle Market. We also offer fixed interest and fixed index annuities, and we intend to introduce variable rate annuity products in 2019.</w:t>
      </w:r>
    </w:p>
    <w:p>
      <w:pPr>
        <w:spacing w:after="0" w:line="18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We conduct our business through our insurance company subsidiary, Federal Life. Federal Life sells its life insurance and annuity products through independent agents.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Business</w:t>
      </w:r>
    </w:p>
    <w:p>
      <w:pPr>
        <w:spacing w:after="0" w:line="12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Our business primarily consists of the operations of Federal Life. Federal Life underwrites primarily life insurance and annuity products through approximately 1,000 independent insurance agents.</w:t>
      </w:r>
    </w:p>
    <w:p>
      <w:pPr>
        <w:spacing w:after="0" w:line="170"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Our revenues consist of insurance premiums, spreads on annuity contracts, net investment income, and net gains/(losses) on investments. Our distributors consist of the independent insurance agencies that we contract with to sell our insurance products to the ultimate customers (policyholders) who buy our insurance policies. We recognize premium revenue from our policyholders. We purchase reinsurance coverage to help manage the risk on our insurance policies by paying, or ceding, a portion of the policyholder premiums to the reinsurance company. Our net insurance premiums reflect amounts collected from policyholders, plus premiums assumed under reinsurance agreements, less premiums ceded to reinsurance companies. Net investment income represents primarily interest income earned on fixed maturity security investments and dividends from equity securities that we purchase with cash flows from our premium revenues and royalties from oil and gas interests that we acquired in the 1930s and 1940s. These investments support our liability for policy reserves and provide the capital required to operate our insurance business. Regulatory authorities primarily establish capital requirements.</w:t>
      </w:r>
    </w:p>
    <w:p>
      <w:pPr>
        <w:spacing w:after="0" w:line="166"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Expenses consist of benefits paid to policyholders or their beneficiaries under life insurance policies and distributions on annuity contracts. Benefit expenses also include additions to the reserve for future policyholder and annuity holder benefits to recognize our estimated future obligations under the policies and annuity contracts. Insurance benefit expenses are shown net of amounts ceded under our reinsurance contracts. We also incur policy acquisition costs that consist of commissions paid to agents, policy underwriting and issue costs, and variable sales costs. A portion of these policy acquisition costs are deferred and expensed over the life of the insurance policies acquired during the period. Our insurance operations also incur overhead costs for functional and administrative staff to support insurance operations, financial reporting, and information technology. We recognize income (loss) on operations to the extent that premium revenues, net investment income, and net investment gains (losses) exceed (are less than) benefit expenses and general operating expenses for the period.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2019 and March 31, 2018</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major components of operating revenues, benefits and expenses, and net income (loss) are as follows:</w:t>
      </w:r>
    </w:p>
    <w:p>
      <w:pPr>
        <w:spacing w:after="0" w:line="244" w:lineRule="exact"/>
        <w:rPr>
          <w:sz w:val="20"/>
          <w:szCs w:val="20"/>
          <w:color w:val="auto"/>
        </w:rPr>
      </w:pPr>
    </w:p>
    <w:p>
      <w:pPr>
        <w:jc w:val="center"/>
        <w:ind w:left="5020"/>
        <w:spacing w:after="0"/>
        <w:rPr>
          <w:sz w:val="20"/>
          <w:szCs w:val="20"/>
          <w:color w:val="auto"/>
        </w:rPr>
      </w:pPr>
      <w:r>
        <w:rPr>
          <w:rFonts w:ascii="Arial" w:cs="Arial" w:eastAsia="Arial" w:hAnsi="Arial"/>
          <w:sz w:val="14"/>
          <w:szCs w:val="14"/>
          <w:b w:val="1"/>
          <w:bCs w:val="1"/>
          <w:color w:val="auto"/>
        </w:rPr>
        <w:t>Three Months Ended</w:t>
      </w:r>
    </w:p>
    <w:p>
      <w:pPr>
        <w:jc w:val="center"/>
        <w:ind w:left="50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4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center"/>
              <w:ind w:right="54"/>
              <w:spacing w:after="0" w:line="155"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center"/>
              <w:ind w:right="54"/>
              <w:spacing w:after="0" w:line="155"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40" w:type="dxa"/>
            <w:vAlign w:val="bottom"/>
            <w:gridSpan w:val="4"/>
          </w:tcPr>
          <w:p>
            <w:pPr>
              <w:jc w:val="right"/>
              <w:ind w:right="634"/>
              <w:spacing w:after="0" w:line="155" w:lineRule="exact"/>
              <w:rPr>
                <w:sz w:val="20"/>
                <w:szCs w:val="20"/>
                <w:color w:val="auto"/>
              </w:rPr>
            </w:pPr>
            <w:r>
              <w:rPr>
                <w:rFonts w:ascii="Arial" w:cs="Arial" w:eastAsia="Arial" w:hAnsi="Arial"/>
                <w:sz w:val="14"/>
                <w:szCs w:val="14"/>
                <w:b w:val="1"/>
                <w:bCs w:val="1"/>
                <w:color w:val="auto"/>
              </w:rPr>
              <w:t>(Dollars 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40"/>
              <w:spacing w:after="0"/>
              <w:rPr>
                <w:sz w:val="20"/>
                <w:szCs w:val="20"/>
                <w:color w:val="auto"/>
              </w:rPr>
            </w:pPr>
            <w:r>
              <w:rPr>
                <w:rFonts w:ascii="Arial" w:cs="Arial" w:eastAsia="Arial" w:hAnsi="Arial"/>
                <w:sz w:val="18"/>
                <w:szCs w:val="18"/>
                <w:color w:val="auto"/>
              </w:rPr>
              <w:t>Insurance revenues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2,120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40"/>
              <w:spacing w:after="0"/>
              <w:rPr>
                <w:sz w:val="20"/>
                <w:szCs w:val="20"/>
                <w:color w:val="auto"/>
              </w:rPr>
            </w:pPr>
            <w:r>
              <w:rPr>
                <w:rFonts w:ascii="Arial" w:cs="Arial" w:eastAsia="Arial" w:hAnsi="Arial"/>
                <w:sz w:val="18"/>
                <w:szCs w:val="18"/>
                <w:color w:val="auto"/>
              </w:rPr>
              <w:t>Net investment gains</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revenues</w:t>
            </w:r>
          </w:p>
        </w:tc>
        <w:tc>
          <w:tcPr>
            <w:tcW w:w="5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Revenues</w:t>
            </w:r>
          </w:p>
        </w:tc>
        <w:tc>
          <w:tcPr>
            <w:tcW w:w="5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4,921</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Benefits and expenses</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40"/>
              <w:spacing w:after="0"/>
              <w:rPr>
                <w:sz w:val="20"/>
                <w:szCs w:val="20"/>
                <w:color w:val="auto"/>
              </w:rPr>
            </w:pPr>
            <w:r>
              <w:rPr>
                <w:rFonts w:ascii="Arial" w:cs="Arial" w:eastAsia="Arial" w:hAnsi="Arial"/>
                <w:sz w:val="18"/>
                <w:szCs w:val="18"/>
                <w:color w:val="auto"/>
              </w:rPr>
              <w:t>Policyholder benefits</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credit to policyholders</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4560" w:type="dxa"/>
            <w:vAlign w:val="bottom"/>
          </w:tcPr>
          <w:p>
            <w:pPr>
              <w:ind w:left="240"/>
              <w:spacing w:after="0"/>
              <w:rPr>
                <w:sz w:val="20"/>
                <w:szCs w:val="20"/>
                <w:color w:val="auto"/>
              </w:rPr>
            </w:pPr>
            <w:r>
              <w:rPr>
                <w:rFonts w:ascii="Arial" w:cs="Arial" w:eastAsia="Arial" w:hAnsi="Arial"/>
                <w:sz w:val="18"/>
                <w:szCs w:val="18"/>
                <w:color w:val="auto"/>
              </w:rPr>
              <w:t>Operating costs and expenses</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deferred acquisition and sales</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inducement costs</w:t>
            </w:r>
          </w:p>
        </w:tc>
        <w:tc>
          <w:tcPr>
            <w:tcW w:w="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40"/>
              <w:spacing w:after="0"/>
              <w:rPr>
                <w:sz w:val="20"/>
                <w:szCs w:val="20"/>
                <w:color w:val="auto"/>
              </w:rPr>
            </w:pPr>
            <w:r>
              <w:rPr>
                <w:rFonts w:ascii="Arial" w:cs="Arial" w:eastAsia="Arial" w:hAnsi="Arial"/>
                <w:sz w:val="18"/>
                <w:szCs w:val="18"/>
                <w:color w:val="auto"/>
              </w:rPr>
              <w:t>Taxes, licenses and fees</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to policyholders</w:t>
            </w:r>
          </w:p>
        </w:tc>
        <w:tc>
          <w:tcPr>
            <w:tcW w:w="5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Benefits and Expenses</w:t>
            </w:r>
          </w:p>
        </w:tc>
        <w:tc>
          <w:tcPr>
            <w:tcW w:w="5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5,061</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Net loss before taxes</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Tax expense (benefit)</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5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holding gains (losses) arising during the</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period (net of tax)</w:t>
            </w:r>
          </w:p>
        </w:tc>
        <w:tc>
          <w:tcPr>
            <w:tcW w:w="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(4,847)</w:t>
            </w:r>
          </w:p>
        </w:tc>
        <w:tc>
          <w:tcPr>
            <w:tcW w:w="0" w:type="dxa"/>
            <w:vAlign w:val="bottom"/>
          </w:tcPr>
          <w:p>
            <w:pPr>
              <w:spacing w:after="0"/>
              <w:rPr>
                <w:sz w:val="1"/>
                <w:szCs w:val="1"/>
                <w:color w:val="auto"/>
              </w:rPr>
            </w:pPr>
          </w:p>
        </w:tc>
      </w:tr>
      <w:tr>
        <w:trPr>
          <w:trHeight w:val="230"/>
        </w:trPr>
        <w:tc>
          <w:tcPr>
            <w:tcW w:w="4560" w:type="dxa"/>
            <w:vAlign w:val="bottom"/>
          </w:tcPr>
          <w:p>
            <w:pPr>
              <w:ind w:left="240"/>
              <w:spacing w:after="0"/>
              <w:rPr>
                <w:sz w:val="20"/>
                <w:szCs w:val="20"/>
                <w:color w:val="auto"/>
              </w:rPr>
            </w:pPr>
            <w:r>
              <w:rPr>
                <w:rFonts w:ascii="Arial" w:cs="Arial" w:eastAsia="Arial" w:hAnsi="Arial"/>
                <w:sz w:val="18"/>
                <w:szCs w:val="18"/>
                <w:color w:val="auto"/>
              </w:rPr>
              <w:t>Adjustment to deferred acquisition costs (net of tax)</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(649)</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Other Comprehensive Income (Loss)</w:t>
            </w:r>
          </w:p>
        </w:tc>
        <w:tc>
          <w:tcPr>
            <w:tcW w:w="5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Three</w:t>
            </w:r>
          </w:p>
        </w:tc>
        <w:tc>
          <w:tcPr>
            <w:tcW w:w="14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Pro forma</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for the three</w:t>
            </w:r>
          </w:p>
        </w:tc>
        <w:tc>
          <w:tcPr>
            <w:tcW w:w="0" w:type="dxa"/>
            <w:vAlign w:val="bottom"/>
          </w:tcPr>
          <w:p>
            <w:pPr>
              <w:spacing w:after="0"/>
              <w:rPr>
                <w:sz w:val="1"/>
                <w:szCs w:val="1"/>
                <w:color w:val="auto"/>
              </w:rPr>
            </w:pPr>
          </w:p>
        </w:tc>
      </w:tr>
      <w:tr>
        <w:trPr>
          <w:trHeight w:val="149"/>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Earnings per common share for the periods:</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71"/>
        </w:trPr>
        <w:tc>
          <w:tcPr>
            <w:tcW w:w="45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56"/>
        </w:trPr>
        <w:tc>
          <w:tcPr>
            <w:tcW w:w="456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center"/>
              <w:ind w:right="54"/>
              <w:spacing w:after="0" w:line="155"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center"/>
              <w:ind w:right="54"/>
              <w:spacing w:after="0" w:line="155"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Basic loss per common share</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Diluted loss per common share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4680"/>
        <w:spacing w:after="0" w:line="375" w:lineRule="auto"/>
        <w:rPr>
          <w:sz w:val="20"/>
          <w:szCs w:val="20"/>
          <w:color w:val="auto"/>
        </w:rPr>
      </w:pPr>
      <w:r>
        <w:rPr>
          <w:rFonts w:ascii="Arial" w:cs="Arial" w:eastAsia="Arial" w:hAnsi="Arial"/>
          <w:sz w:val="18"/>
          <w:szCs w:val="18"/>
          <w:b w:val="1"/>
          <w:bCs w:val="1"/>
          <w:i w:val="1"/>
          <w:iCs w:val="1"/>
          <w:color w:val="auto"/>
        </w:rPr>
        <w:t xml:space="preserve">Three Months Ended March 31, 2019 Compared to Three Months Ended March 31, 2018 </w:t>
      </w:r>
      <w:r>
        <w:rPr>
          <w:rFonts w:ascii="Arial" w:cs="Arial" w:eastAsia="Arial" w:hAnsi="Arial"/>
          <w:sz w:val="18"/>
          <w:szCs w:val="18"/>
          <w:b w:val="1"/>
          <w:bCs w:val="1"/>
          <w:color w:val="auto"/>
        </w:rPr>
        <w:t>Revenues</w:t>
      </w:r>
    </w:p>
    <w:p>
      <w:pPr>
        <w:spacing w:after="0" w:line="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For the three months ended March 31, 2019, revenues were $4.9 million compared to $5.0 million for the three months ended March 31, 2018. This decrease of $0.1 million (1.4%) resulted from lower insurance revenues, partially offset by higher net investment income and higher net investment gains. Insurance revenues decreased by $0.6 million (22.7%) primarily due to lower assumed premiums. Net investment income increased by $0.1 million (4.5%), and net investment gains and other revenues increased by $0.4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Expenses</w:t>
      </w:r>
    </w:p>
    <w:p>
      <w:pPr>
        <w:spacing w:after="0" w:line="12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Total benefits and expenses for the three months ended March 31, 2019 were $5.1 million compared to $5.9 million for the three months ended March 31, 2018, a decrease of $0.8 million (13.9%). Total benefits and expenses decreased primarily because policyholder benefits decreased by $1.1 million</w:t>
      </w:r>
    </w:p>
    <w:p>
      <w:pPr>
        <w:ind w:right="440"/>
        <w:spacing w:after="0" w:line="261" w:lineRule="auto"/>
        <w:rPr>
          <w:sz w:val="20"/>
          <w:szCs w:val="20"/>
          <w:color w:val="auto"/>
        </w:rPr>
      </w:pPr>
      <w:r>
        <w:rPr>
          <w:rFonts w:ascii="Arial" w:cs="Arial" w:eastAsia="Arial" w:hAnsi="Arial"/>
          <w:sz w:val="18"/>
          <w:szCs w:val="18"/>
          <w:color w:val="auto"/>
        </w:rPr>
        <w:t>(36.9%). This was partially offset by an increase in operating expenses of $0.2 million (9.7%) and from an increase in interest credited to policyholders of $0.1 million.</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Before Income Taxes</w:t>
      </w:r>
    </w:p>
    <w:p>
      <w:pPr>
        <w:spacing w:after="0" w:line="121" w:lineRule="exact"/>
        <w:rPr>
          <w:sz w:val="20"/>
          <w:szCs w:val="20"/>
          <w:color w:val="auto"/>
        </w:rPr>
      </w:pPr>
    </w:p>
    <w:p>
      <w:pPr>
        <w:ind w:right="340" w:firstLine="518"/>
        <w:spacing w:after="0" w:line="342" w:lineRule="auto"/>
        <w:rPr>
          <w:sz w:val="20"/>
          <w:szCs w:val="20"/>
          <w:color w:val="auto"/>
        </w:rPr>
      </w:pPr>
      <w:r>
        <w:rPr>
          <w:rFonts w:ascii="Arial" w:cs="Arial" w:eastAsia="Arial" w:hAnsi="Arial"/>
          <w:sz w:val="16"/>
          <w:szCs w:val="16"/>
          <w:color w:val="auto"/>
        </w:rPr>
        <w:t>For the three months ended March 31, 2019, we reported a loss before taxes of $0.1 million compared to a loss before taxes of $0.9 million for the three months ended March 31, 2018. This decrease of $0.8 million in loss before taxes was primarily due to lower policyholder benefits expenses.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Expense</w:t>
      </w:r>
    </w:p>
    <w:p>
      <w:pPr>
        <w:spacing w:after="0" w:line="12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For the three months ended March 31, 2019, income tax benefit was $2,000 compared to an income tax expense of $3,000 for the three months ended March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Revenues</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For the three months ended March 31, 2019, insurance revenues were $2.1 million compared to $2.7 million for the three months ended March 31, 2018. This decrease of $0.6 million (22.7%) was mainly due to lower assumed premiums because the Company decided to no longer participate in the FEGLI reinsurance program, effective September 30,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121"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For the three months ended March 31, 2019, net investment income was $2.2 million compared to $2.1 million for the three months ended March 31, 2018. This increase of $0.1 million (4.4%) was mainly due to higher income from cash equivalents due to higher invested balances and higher yields on these balances. The following table provides detail of the components of net investment income by asset type:</w:t>
      </w:r>
    </w:p>
    <w:p>
      <w:pPr>
        <w:spacing w:after="0" w:line="267"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320" w:type="dxa"/>
            <w:vAlign w:val="bottom"/>
            <w:gridSpan w:val="4"/>
          </w:tcPr>
          <w:p>
            <w:pPr>
              <w:jc w:val="center"/>
              <w:ind w:left="384"/>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3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276"/>
              <w:spacing w:after="0"/>
              <w:rPr>
                <w:sz w:val="20"/>
                <w:szCs w:val="20"/>
                <w:color w:val="auto"/>
              </w:rPr>
            </w:pPr>
            <w:r>
              <w:rPr>
                <w:rFonts w:ascii="Arial" w:cs="Arial" w:eastAsia="Arial" w:hAnsi="Arial"/>
                <w:sz w:val="14"/>
                <w:szCs w:val="14"/>
                <w:b w:val="1"/>
                <w:bCs w:val="1"/>
                <w:color w:val="auto"/>
                <w:w w:val="95"/>
              </w:rPr>
              <w:t>March 31,</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5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5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320" w:type="dxa"/>
            <w:vAlign w:val="bottom"/>
            <w:gridSpan w:val="4"/>
          </w:tcPr>
          <w:p>
            <w:pPr>
              <w:jc w:val="center"/>
              <w:ind w:left="364"/>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Fixed maturity securities</w:t>
            </w:r>
          </w:p>
        </w:tc>
        <w:tc>
          <w:tcPr>
            <w:tcW w:w="2420" w:type="dxa"/>
            <w:vAlign w:val="bottom"/>
            <w:gridSpan w:val="2"/>
            <w:shd w:val="clear" w:color="auto" w:fill="CFF0FC"/>
          </w:tcPr>
          <w:p>
            <w:pPr>
              <w:jc w:val="right"/>
              <w:ind w:right="644"/>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1,835</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1,869</w:t>
            </w:r>
          </w:p>
        </w:tc>
        <w:tc>
          <w:tcPr>
            <w:tcW w:w="8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Equity securities</w:t>
            </w:r>
          </w:p>
        </w:tc>
        <w:tc>
          <w:tcPr>
            <w:tcW w:w="1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16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Cash equivalents</w:t>
            </w:r>
          </w:p>
        </w:tc>
        <w:tc>
          <w:tcPr>
            <w:tcW w:w="1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Policy loans</w:t>
            </w:r>
          </w:p>
        </w:tc>
        <w:tc>
          <w:tcPr>
            <w:tcW w:w="16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FF0FC"/>
          </w:tcPr>
          <w:p>
            <w:pPr>
              <w:spacing w:after="0"/>
              <w:rPr>
                <w:sz w:val="19"/>
                <w:szCs w:val="19"/>
                <w:color w:val="auto"/>
              </w:rPr>
            </w:pPr>
          </w:p>
        </w:tc>
      </w:tr>
      <w:tr>
        <w:trPr>
          <w:trHeight w:val="230"/>
        </w:trPr>
        <w:tc>
          <w:tcPr>
            <w:tcW w:w="3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80" w:type="dxa"/>
            <w:vAlign w:val="bottom"/>
            <w:tcBorders>
              <w:bottom w:val="single" w:sz="8" w:color="CFF0FC"/>
            </w:tcBorders>
          </w:tcPr>
          <w:p>
            <w:pPr>
              <w:spacing w:after="0"/>
              <w:rPr>
                <w:sz w:val="19"/>
                <w:szCs w:val="19"/>
                <w:color w:val="auto"/>
              </w:rPr>
            </w:pPr>
          </w:p>
        </w:tc>
      </w:tr>
      <w:tr>
        <w:trPr>
          <w:trHeight w:val="223"/>
        </w:trPr>
        <w:tc>
          <w:tcPr>
            <w:tcW w:w="3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Subtotal</w:t>
            </w:r>
          </w:p>
        </w:tc>
        <w:tc>
          <w:tcPr>
            <w:tcW w:w="16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2,347</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2,267</w:t>
            </w:r>
          </w:p>
        </w:tc>
        <w:tc>
          <w:tcPr>
            <w:tcW w:w="8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Investment expense</w:t>
            </w:r>
          </w:p>
        </w:tc>
        <w:tc>
          <w:tcPr>
            <w:tcW w:w="1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82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r>
      <w:tr>
        <w:trPr>
          <w:trHeight w:val="223"/>
        </w:trPr>
        <w:tc>
          <w:tcPr>
            <w:tcW w:w="35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investment income</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44"/>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2,201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2,107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One key measure of our investment income is the book yield on our holdings of fixed maturity securities. Book yield is the effective interest rate, before investment expenses, that we earn on these investments. The following table provides our book yield for the three months ended March 31, 2019 and March 31, 2018:</w:t>
      </w:r>
    </w:p>
    <w:p>
      <w:pPr>
        <w:spacing w:after="0" w:line="267" w:lineRule="exact"/>
        <w:rPr>
          <w:sz w:val="20"/>
          <w:szCs w:val="20"/>
          <w:color w:val="auto"/>
        </w:rPr>
      </w:pPr>
    </w:p>
    <w:p>
      <w:pPr>
        <w:jc w:val="center"/>
        <w:ind w:left="486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4860"/>
        <w:spacing w:after="0"/>
        <w:rPr>
          <w:sz w:val="20"/>
          <w:szCs w:val="20"/>
          <w:color w:val="auto"/>
        </w:rPr>
      </w:pPr>
      <w:r>
        <w:rPr>
          <w:rFonts w:ascii="Arial" w:cs="Arial" w:eastAsia="Arial" w:hAnsi="Arial"/>
          <w:sz w:val="14"/>
          <w:szCs w:val="14"/>
          <w:b w:val="1"/>
          <w:bCs w:val="1"/>
          <w:color w:val="auto"/>
        </w:rPr>
        <w:t>March 31,</w:t>
      </w:r>
    </w:p>
    <w:tbl>
      <w:tblPr>
        <w:tblLayout w:type="fixed"/>
        <w:tblInd w:w="1720" w:type="dxa"/>
        <w:tblCellMar>
          <w:top w:w="0" w:type="dxa"/>
          <w:left w:w="0" w:type="dxa"/>
          <w:bottom w:w="0" w:type="dxa"/>
          <w:right w:w="0" w:type="dxa"/>
        </w:tblCellMar>
      </w:tblPr>
      <w:tr>
        <w:trPr>
          <w:trHeight w:val="156"/>
        </w:trPr>
        <w:tc>
          <w:tcPr>
            <w:tcW w:w="504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 xml:space="preserve">Book yield on fixed maturity securities available for sale </w:t>
            </w:r>
            <w:r>
              <w:rPr>
                <w:rFonts w:ascii="Arial" w:cs="Arial" w:eastAsia="Arial" w:hAnsi="Arial"/>
                <w:sz w:val="15"/>
                <w:szCs w:val="15"/>
                <w:color w:val="auto"/>
              </w:rPr>
              <w:t>(1)</w:t>
            </w:r>
          </w:p>
        </w:tc>
        <w:tc>
          <w:tcPr>
            <w:tcW w:w="8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4.1%</w:t>
            </w:r>
          </w:p>
        </w:tc>
      </w:tr>
    </w:tbl>
    <w:p>
      <w:pPr>
        <w:spacing w:after="0" w:line="214" w:lineRule="exact"/>
        <w:rPr>
          <w:sz w:val="20"/>
          <w:szCs w:val="20"/>
          <w:color w:val="auto"/>
        </w:rPr>
      </w:pPr>
    </w:p>
    <w:p>
      <w:pPr>
        <w:ind w:left="2040" w:right="280" w:hanging="371"/>
        <w:spacing w:after="0" w:line="277" w:lineRule="auto"/>
        <w:tabs>
          <w:tab w:leader="none" w:pos="2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Book yield is calculated as the percent of net investment income to the average amortized cost of the underlying fixed income investments for the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Gains</w:t>
      </w:r>
    </w:p>
    <w:p>
      <w:pPr>
        <w:spacing w:after="0" w:line="12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For the three months ended March 31, 2019, net investment gains were $0.6 million compared with net investment gains of $0.1 million for the three months ended March 31, 2018. This increase of $0.5 million was mainly due to gains on equity securities and a sale of an asset by Americana. In 2018, changes in the market value of equity securities were taken through other comprehensive income but are now included in net investment gains as a result of the adoption of ASU No. 2016-01 at January 1, 2019.</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121" w:lineRule="exact"/>
        <w:rPr>
          <w:sz w:val="20"/>
          <w:szCs w:val="20"/>
          <w:color w:val="auto"/>
        </w:rPr>
      </w:pPr>
    </w:p>
    <w:p>
      <w:pPr>
        <w:ind w:right="180" w:firstLine="518"/>
        <w:spacing w:after="0" w:line="342" w:lineRule="auto"/>
        <w:rPr>
          <w:sz w:val="20"/>
          <w:szCs w:val="20"/>
          <w:color w:val="auto"/>
        </w:rPr>
      </w:pPr>
      <w:r>
        <w:rPr>
          <w:rFonts w:ascii="Arial" w:cs="Arial" w:eastAsia="Arial" w:hAnsi="Arial"/>
          <w:sz w:val="16"/>
          <w:szCs w:val="16"/>
          <w:color w:val="auto"/>
        </w:rPr>
        <w:t>For the three months ended March 31, 2019, other revenues were $26,000 compared with $49,000 for the three months ended March 31, 2018. This decrease of $23,000 (46.9%) is primarily due to lower fee income from our separate account business in 2019 and from lower miscellaneous income.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Policyholder Benefits</w:t>
      </w:r>
    </w:p>
    <w:p>
      <w:pPr>
        <w:spacing w:after="0" w:line="121"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For the three months ended March 31, 2019, policyholder benefits were $1.9 million compared with $3.1 million for the three months ended March 31, 2018. This decrease of $1.2 million (36.9%) resulted primarily from lower reserves and from lower benefits due to the termination of the FEGLI reinsurance program.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Credit to Policyholders</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For the three months ended March 31, 2019, interest credited was $70,000 compared to ($48,000) for the three months ended March 31, 2018. This increase of $118,000 is mainly due to higher payouts and reserve increases.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our average credited rate by product for the three months ended March 31, 2019 and March 31, 2018:</w:t>
      </w:r>
    </w:p>
    <w:p>
      <w:pPr>
        <w:spacing w:after="0" w:line="325" w:lineRule="exact"/>
        <w:rPr>
          <w:sz w:val="20"/>
          <w:szCs w:val="20"/>
          <w:color w:val="auto"/>
        </w:rPr>
      </w:pPr>
    </w:p>
    <w:p>
      <w:pPr>
        <w:jc w:val="center"/>
        <w:ind w:left="4860"/>
        <w:spacing w:after="0"/>
        <w:rPr>
          <w:sz w:val="20"/>
          <w:szCs w:val="20"/>
          <w:color w:val="auto"/>
        </w:rPr>
      </w:pPr>
      <w:r>
        <w:rPr>
          <w:rFonts w:ascii="Arial" w:cs="Arial" w:eastAsia="Arial" w:hAnsi="Arial"/>
          <w:sz w:val="14"/>
          <w:szCs w:val="14"/>
          <w:b w:val="1"/>
          <w:bCs w:val="1"/>
          <w:color w:val="auto"/>
        </w:rPr>
        <w:t xml:space="preserve">Average Credited Rate </w:t>
      </w:r>
      <w:r>
        <w:rPr>
          <w:rFonts w:ascii="Arial" w:cs="Arial" w:eastAsia="Arial" w:hAnsi="Arial"/>
          <w:sz w:val="12"/>
          <w:szCs w:val="12"/>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6350</wp:posOffset>
            </wp:positionV>
            <wp:extent cx="17583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5" w:lineRule="exact"/>
        <w:rPr>
          <w:sz w:val="20"/>
          <w:szCs w:val="20"/>
          <w:color w:val="auto"/>
        </w:rPr>
      </w:pPr>
    </w:p>
    <w:p>
      <w:pPr>
        <w:jc w:val="center"/>
        <w:ind w:left="4860"/>
        <w:spacing w:after="0"/>
        <w:rPr>
          <w:sz w:val="20"/>
          <w:szCs w:val="20"/>
          <w:color w:val="auto"/>
        </w:rPr>
      </w:pPr>
      <w:r>
        <w:rPr>
          <w:rFonts w:ascii="Arial" w:cs="Arial" w:eastAsia="Arial" w:hAnsi="Arial"/>
          <w:sz w:val="14"/>
          <w:szCs w:val="14"/>
          <w:b w:val="1"/>
          <w:bCs w:val="1"/>
          <w:color w:val="auto"/>
        </w:rPr>
        <w:t>Three Months Ended March 31,</w:t>
      </w:r>
    </w:p>
    <w:tbl>
      <w:tblPr>
        <w:tblLayout w:type="fixed"/>
        <w:tblInd w:w="1720" w:type="dxa"/>
        <w:tblCellMar>
          <w:top w:w="0" w:type="dxa"/>
          <w:left w:w="0" w:type="dxa"/>
          <w:bottom w:w="0" w:type="dxa"/>
          <w:right w:w="0" w:type="dxa"/>
        </w:tblCellMar>
      </w:tblPr>
      <w:tr>
        <w:trPr>
          <w:trHeight w:val="156"/>
        </w:trPr>
        <w:tc>
          <w:tcPr>
            <w:tcW w:w="504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Annuity Contract Holder Deposits</w:t>
            </w:r>
          </w:p>
        </w:tc>
        <w:tc>
          <w:tcPr>
            <w:tcW w:w="8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0.84%</w:t>
            </w: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0.80%</w:t>
            </w: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Dividends Left on Deposit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0.61%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0.61%</w:t>
            </w:r>
          </w:p>
        </w:tc>
      </w:tr>
      <w:tr>
        <w:trPr>
          <w:trHeight w:val="230"/>
        </w:trPr>
        <w:tc>
          <w:tcPr>
            <w:tcW w:w="5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0.55%</w:t>
            </w: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0.62%</w:t>
            </w:r>
          </w:p>
        </w:tc>
      </w:tr>
    </w:tbl>
    <w:p>
      <w:pPr>
        <w:spacing w:after="0" w:line="215" w:lineRule="exact"/>
        <w:rPr>
          <w:sz w:val="20"/>
          <w:szCs w:val="20"/>
          <w:color w:val="auto"/>
        </w:rPr>
      </w:pPr>
    </w:p>
    <w:p>
      <w:pPr>
        <w:ind w:left="1660"/>
        <w:spacing w:after="0"/>
        <w:tabs>
          <w:tab w:leader="none" w:pos="20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Average credited rate is calculated as the percent of interest credited to average reserves for the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Costs and Expenses</w:t>
      </w:r>
    </w:p>
    <w:p>
      <w:pPr>
        <w:spacing w:after="0" w:line="121"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For the three months ended March 31, 2019, operating costs and expenses were $2.5 million compared to $2.2 million for the three months ended March 31, 2018. This increase of $0.3 million (9.7%) was mainly a result of higher expenses at the holding company related to regulatory filings, partially offset by lower general expenses for the insurance entity.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Deferred Acquisition and Sales Inducement Costs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three months ended March 31, 2019 and March 31, 2018, amortization of deferred acquisition costs was unchanged at $0.4 million.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 Licenses and Fees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months ended March 31, 2019 and March 31, 2018, taxes licenses and fees were unchanged at $0.2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to Policyholders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months ended March 31, 2019 and March 31, 2018, dividends to policyholders were unchanged at $18,000.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Our investment strategy and guidelines are developed by management and approved by our board of directors. Our investment strategy is designed to maintain a well-diversified, high quality fixed income portfolio that will provide adequate levels of net investment income and liquidity to meet our policyholder obligations under our life insurance policies and our annuity deposits. To help maintain liquidity, we establish the duration of invested assets within a tolerance to the policy liability duration. The investments are managed with an emphasis on current income within quality and diversification constraints. The focus is on book yield of the fixed income portfolio as the anticipated portfolio yield is a key element used in pricing our insurance products and establishing policyholder crediting rates on our annuity contracts. We also maintain a small equity portfolio consisting of investments in exchange-traded funds and an investment in a commercial real estate fund. With the additional capital provided by the IPO, we may rebalance our investment portfolio to seek higher yields on our securities investments. Higher yielding investments usually are associated with higher investment risks, which may result in us recognizing higher OTTI charges.</w:t>
      </w:r>
    </w:p>
    <w:p>
      <w:pPr>
        <w:sectPr>
          <w:pgSz w:w="11900" w:h="16838" w:orient="portrait"/>
          <w:cols w:equalWidth="0" w:num="1">
            <w:col w:w="11360"/>
          </w:cols>
          <w:pgMar w:left="240" w:top="125" w:right="299" w:bottom="1440" w:gutter="0" w:footer="0" w:header="0"/>
        </w:sectPr>
      </w:pP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300" w:firstLine="518"/>
        <w:spacing w:after="0" w:line="308" w:lineRule="auto"/>
        <w:rPr>
          <w:sz w:val="20"/>
          <w:szCs w:val="20"/>
          <w:color w:val="auto"/>
        </w:rPr>
      </w:pPr>
      <w:r>
        <w:rPr>
          <w:rFonts w:ascii="Arial" w:cs="Arial" w:eastAsia="Arial" w:hAnsi="Arial"/>
          <w:sz w:val="17"/>
          <w:szCs w:val="17"/>
          <w:color w:val="auto"/>
        </w:rPr>
        <w:t>We apply our investment strategy and guidelines for purposes of monitoring compliance with our overall guidelines. Our investments are primarily owned by Federal Life and are maintained in compliance with insurance regulations. Critical guidelines of our investment plan include:</w:t>
      </w:r>
    </w:p>
    <w:p>
      <w:pPr>
        <w:spacing w:after="0" w:line="38"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Asset concentration guidelines that limit the amount that we hold in any one issuer of securities;</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Asset quality guidelines applied on a portfolio basis and for individual issues that establish a minimum asset quality standard for portfolios and establish minimum asset quality standards for investment purchases and investment holding;</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Liquidity guidelines that limit the amount of illiquid assets that can be held at any time;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Diversification guidelines that limit the exposure of the total portfolio to investment sectors.</w:t>
      </w:r>
    </w:p>
    <w:p>
      <w:pPr>
        <w:spacing w:after="0" w:line="225" w:lineRule="exact"/>
        <w:rPr>
          <w:sz w:val="20"/>
          <w:szCs w:val="20"/>
          <w:color w:val="auto"/>
        </w:rPr>
      </w:pPr>
    </w:p>
    <w:p>
      <w:pPr>
        <w:ind w:right="280" w:firstLine="518"/>
        <w:spacing w:after="0" w:line="312" w:lineRule="auto"/>
        <w:rPr>
          <w:sz w:val="20"/>
          <w:szCs w:val="20"/>
          <w:color w:val="auto"/>
        </w:rPr>
      </w:pPr>
      <w:r>
        <w:rPr>
          <w:rFonts w:ascii="Arial" w:cs="Arial" w:eastAsia="Arial" w:hAnsi="Arial"/>
          <w:sz w:val="16"/>
          <w:szCs w:val="16"/>
          <w:color w:val="auto"/>
        </w:rPr>
        <w:t>Our internal investment staff manages our investment portfolios. We contract with investment management firms to provide overall assistance with certain types of investment products. This investment management firm reports to our Chief Executive Officer and to our Chief Financial Officer. On a quarterly basis, or more frequently if circumstances require, we review the performance of all portfolios with the Federal Life Board of Directors.</w:t>
      </w:r>
    </w:p>
    <w:p>
      <w:pPr>
        <w:spacing w:after="0" w:line="147" w:lineRule="exact"/>
        <w:rPr>
          <w:sz w:val="20"/>
          <w:szCs w:val="20"/>
          <w:color w:val="auto"/>
        </w:rPr>
      </w:pPr>
    </w:p>
    <w:p>
      <w:pPr>
        <w:ind w:right="360" w:firstLine="518"/>
        <w:spacing w:after="0" w:line="286" w:lineRule="auto"/>
        <w:rPr>
          <w:sz w:val="20"/>
          <w:szCs w:val="20"/>
          <w:color w:val="auto"/>
        </w:rPr>
      </w:pPr>
      <w:r>
        <w:rPr>
          <w:rFonts w:ascii="Arial" w:cs="Arial" w:eastAsia="Arial" w:hAnsi="Arial"/>
          <w:sz w:val="17"/>
          <w:szCs w:val="17"/>
          <w:color w:val="auto"/>
        </w:rPr>
        <w:t>The following table shows the distribution of the fixed maturity securities by quality rating using the rating assigned by Standard &amp; Poor’s, a nationally recognized statistical rating organization. Over the periods presented, we have maintained a consistent weighted average bond quality rating of “A.” Ratings assigned by Moody’s or other rating agencies have been used for securities not rated by Standard &amp; Poor’s.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S&amp;P Rating</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Estimated Fair Value</w:t>
            </w: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4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ind w:left="420"/>
              <w:spacing w:after="0" w:line="155" w:lineRule="exact"/>
              <w:rPr>
                <w:sz w:val="20"/>
                <w:szCs w:val="20"/>
                <w:color w:val="auto"/>
              </w:rPr>
            </w:pPr>
            <w:r>
              <w:rPr>
                <w:rFonts w:ascii="Arial" w:cs="Arial" w:eastAsia="Arial" w:hAnsi="Arial"/>
                <w:sz w:val="14"/>
                <w:szCs w:val="14"/>
                <w:b w:val="1"/>
                <w:bCs w:val="1"/>
                <w:color w:val="auto"/>
              </w:rPr>
              <w:t>March 31, 2019</w:t>
            </w: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ind w:left="120"/>
              <w:spacing w:after="0" w:line="155" w:lineRule="exact"/>
              <w:rPr>
                <w:sz w:val="20"/>
                <w:szCs w:val="20"/>
                <w:color w:val="auto"/>
              </w:rPr>
            </w:pPr>
            <w:r>
              <w:rPr>
                <w:rFonts w:ascii="Arial" w:cs="Arial" w:eastAsia="Arial" w:hAnsi="Arial"/>
                <w:sz w:val="14"/>
                <w:szCs w:val="14"/>
                <w:b w:val="1"/>
                <w:bCs w:val="1"/>
                <w:color w:val="auto"/>
                <w:w w:val="99"/>
              </w:rPr>
              <w:t>December 31, 2018</w:t>
            </w:r>
          </w:p>
        </w:tc>
        <w:tc>
          <w:tcPr>
            <w:tcW w:w="5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AAA</w:t>
            </w:r>
          </w:p>
        </w:tc>
        <w:tc>
          <w:tcPr>
            <w:tcW w:w="44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13,626</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w:t>
            </w:r>
          </w:p>
        </w:tc>
        <w:tc>
          <w:tcPr>
            <w:tcW w:w="60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11,276</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AA</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73,494</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70,462</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39,142</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35,494</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BBB</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60,323</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58,595</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investment grade</w:t>
            </w:r>
          </w:p>
        </w:tc>
        <w:tc>
          <w:tcPr>
            <w:tcW w:w="14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186,585</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95.3%</w:t>
            </w:r>
          </w:p>
        </w:tc>
        <w:tc>
          <w:tcPr>
            <w:tcW w:w="80" w:type="dxa"/>
            <w:vAlign w:val="bottom"/>
            <w:vMerge w:val="continue"/>
            <w:shd w:val="clear" w:color="auto" w:fill="CFF0FC"/>
          </w:tcPr>
          <w:p>
            <w:pPr>
              <w:spacing w:after="0"/>
              <w:rPr>
                <w:sz w:val="19"/>
                <w:szCs w:val="19"/>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175,827</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BB</w:t>
            </w: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7,039</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6,387</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B</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1,878</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CCC</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CC</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7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8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C</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D</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8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Total below investment grade</w:t>
            </w:r>
          </w:p>
        </w:tc>
        <w:tc>
          <w:tcPr>
            <w:tcW w:w="14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9,168</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vMerge w:val="continue"/>
          </w:tcPr>
          <w:p>
            <w:pPr>
              <w:spacing w:after="0"/>
              <w:rPr>
                <w:sz w:val="19"/>
                <w:szCs w:val="19"/>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8,648</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Not rated</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195,753</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184,475</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following table sets forth the maturity profile of our debt securities at March 31, 2019 and December 31, 2018. Expected maturities could differ from contractual maturities because borrowers may have the right to call or prepay obligations, with or without penalty.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March 31, 2019</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December 31, 2018</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3"/>
          </w:tcPr>
          <w:p>
            <w:pPr>
              <w:jc w:val="center"/>
              <w:ind w:right="260"/>
              <w:spacing w:after="0" w:line="147" w:lineRule="exact"/>
              <w:rPr>
                <w:sz w:val="20"/>
                <w:szCs w:val="20"/>
                <w:color w:val="auto"/>
              </w:rPr>
            </w:pPr>
            <w:r>
              <w:rPr>
                <w:rFonts w:ascii="Arial" w:cs="Arial" w:eastAsia="Arial" w:hAnsi="Arial"/>
                <w:sz w:val="14"/>
                <w:szCs w:val="14"/>
                <w:b w:val="1"/>
                <w:bCs w:val="1"/>
                <w:color w:val="auto"/>
                <w:w w:val="96"/>
              </w:rPr>
              <w:t>Amortized</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Fair</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300"/>
              <w:spacing w:after="0" w:line="147" w:lineRule="exact"/>
              <w:rPr>
                <w:sz w:val="20"/>
                <w:szCs w:val="20"/>
                <w:color w:val="auto"/>
              </w:rPr>
            </w:pPr>
            <w:r>
              <w:rPr>
                <w:rFonts w:ascii="Arial" w:cs="Arial" w:eastAsia="Arial" w:hAnsi="Arial"/>
                <w:sz w:val="14"/>
                <w:szCs w:val="14"/>
                <w:b w:val="1"/>
                <w:bCs w:val="1"/>
                <w:color w:val="auto"/>
                <w:w w:val="96"/>
              </w:rPr>
              <w:t>Amortized</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rPr>
              <w:t>Fair</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5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6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6"/>
          </w:tcPr>
          <w:p>
            <w:pPr>
              <w:ind w:left="2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Due in one year or less</w:t>
            </w:r>
          </w:p>
        </w:tc>
        <w:tc>
          <w:tcPr>
            <w:tcW w:w="5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6,699</w:t>
            </w: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6,795</w:t>
            </w: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5,998</w:t>
            </w: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6,041</w:t>
            </w: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34,683</w:t>
            </w:r>
          </w:p>
        </w:tc>
        <w:tc>
          <w:tcPr>
            <w:tcW w:w="2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35,506</w:t>
            </w:r>
          </w:p>
        </w:tc>
        <w:tc>
          <w:tcPr>
            <w:tcW w:w="2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37,917</w:t>
            </w:r>
          </w:p>
        </w:tc>
        <w:tc>
          <w:tcPr>
            <w:tcW w:w="2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38,032</w:t>
            </w:r>
          </w:p>
        </w:tc>
        <w:tc>
          <w:tcPr>
            <w:tcW w:w="2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Due after five years through ten years</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77,014</w:t>
            </w: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77,945</w:t>
            </w: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74,274</w:t>
            </w: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72,209</w:t>
            </w: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Due after ten years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28,886</w:t>
            </w:r>
          </w:p>
        </w:tc>
        <w:tc>
          <w:tcPr>
            <w:tcW w:w="2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29,230</w:t>
            </w:r>
          </w:p>
        </w:tc>
        <w:tc>
          <w:tcPr>
            <w:tcW w:w="2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25,419</w:t>
            </w:r>
          </w:p>
        </w:tc>
        <w:tc>
          <w:tcPr>
            <w:tcW w:w="2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25,050</w:t>
            </w:r>
          </w:p>
        </w:tc>
        <w:tc>
          <w:tcPr>
            <w:tcW w:w="2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45,291</w:t>
            </w: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46,277</w:t>
            </w: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43,427</w:t>
            </w: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43,143</w:t>
            </w: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8"/>
                <w:szCs w:val="18"/>
                <w:color w:val="auto"/>
              </w:rPr>
              <w:t>Total debt securities</w:t>
            </w:r>
          </w:p>
        </w:tc>
        <w:tc>
          <w:tcPr>
            <w:tcW w:w="4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192,573</w:t>
            </w:r>
          </w:p>
        </w:tc>
        <w:tc>
          <w:tcPr>
            <w:tcW w:w="2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195,753</w:t>
            </w:r>
          </w:p>
        </w:tc>
        <w:tc>
          <w:tcPr>
            <w:tcW w:w="2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187,035</w:t>
            </w:r>
          </w:p>
        </w:tc>
        <w:tc>
          <w:tcPr>
            <w:tcW w:w="2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184,475</w:t>
            </w:r>
          </w:p>
        </w:tc>
        <w:tc>
          <w:tcPr>
            <w:tcW w:w="2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20" w:firstLine="518"/>
        <w:spacing w:after="0" w:line="342" w:lineRule="auto"/>
        <w:rPr>
          <w:sz w:val="20"/>
          <w:szCs w:val="20"/>
          <w:color w:val="auto"/>
        </w:rPr>
      </w:pPr>
      <w:r>
        <w:rPr>
          <w:rFonts w:ascii="Arial" w:cs="Arial" w:eastAsia="Arial" w:hAnsi="Arial"/>
          <w:sz w:val="16"/>
          <w:szCs w:val="16"/>
          <w:color w:val="auto"/>
        </w:rPr>
        <w:t>Every quarter we review all investments where the market value is less than the carrying value to ascertain if the impairment of the security’s value is other than temporary. The quarterly review focuses on securities with larger impairments and that have been in an impaired status for longer periods of time.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Holding Gains</w:t>
      </w:r>
    </w:p>
    <w:p>
      <w:pPr>
        <w:spacing w:after="0" w:line="121"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We also record capital appreciation/depreciation on our available for sale fixed maturity securities. The following table shows the change in equity from mark-to-market adjustments on our available for sale fixed maturity securities. The market value of our fixed income securities has increased this year as a result of lower interest rates and narrower yield spreads.</w:t>
      </w:r>
    </w:p>
    <w:p>
      <w:pPr>
        <w:spacing w:after="0" w:line="26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 Other Comprehensive Income</w:t>
            </w:r>
          </w:p>
        </w:tc>
        <w:tc>
          <w:tcPr>
            <w:tcW w:w="180" w:type="dxa"/>
            <w:vAlign w:val="bottom"/>
          </w:tcPr>
          <w:p>
            <w:pPr>
              <w:spacing w:after="0"/>
              <w:rPr>
                <w:sz w:val="14"/>
                <w:szCs w:val="14"/>
                <w:color w:val="auto"/>
              </w:rPr>
            </w:pPr>
          </w:p>
        </w:tc>
        <w:tc>
          <w:tcPr>
            <w:tcW w:w="2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56"/>
        </w:trPr>
        <w:tc>
          <w:tcPr>
            <w:tcW w:w="5440" w:type="dxa"/>
            <w:vAlign w:val="bottom"/>
            <w:gridSpan w:val="2"/>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280" w:type="dxa"/>
            <w:vAlign w:val="bottom"/>
            <w:tcBorders>
              <w:top w:val="single" w:sz="8" w:color="auto"/>
            </w:tcBorders>
            <w:gridSpan w:val="4"/>
          </w:tcPr>
          <w:p>
            <w:pPr>
              <w:jc w:val="center"/>
              <w:ind w:right="114"/>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Unrealized holding gains (losses) from changes in the market</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value of securities, including the related impact to future</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policy benefit liabilities, the policyholder dividend</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obligation, and deferred policy acquisition cost balances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4,919</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(4,261)</w:t>
            </w: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Income tax effect</w:t>
            </w:r>
          </w:p>
        </w:tc>
        <w:tc>
          <w:tcPr>
            <w:tcW w:w="1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(571)</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54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increase (decrease) in accumulated other comprehensive</w:t>
            </w: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income</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4,348</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At March 31, 2019, we have AOCI from a mark-to-market adjustment of our available for sale fixed income securities totaling $2.1 million (net of federal income taxes and DAC effects).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March 31, 2019</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At March 31, 2019, we had total assets of $286.9 million compared to total assets at of $279.7 million at December 31, 2018. The increase in total assets primarily results from higher fair values on fixed maturity securities of $11.3 million due to lower interest rates and additional investment, and from a $2.1 million increase in the separate account asset as a result of higher underlying asset values. These increases were partially offset by a decrease in cash and cash equivalents of $3.4 million.</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At March 31, 2019, we had total liabilities of $229.7 million compared to total liabilities of $226.8 million at December 31, 2018. This increase</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of $2.9 million was primarily due to an increase of $1.7 million in policyholder account balances as a result of index annuity sales and a $2.1 million increase in the variable annuity reserve due to higher underlying asset values.</w:t>
      </w:r>
    </w:p>
    <w:p>
      <w:pPr>
        <w:spacing w:after="0" w:line="184"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Total equity increased from $52.9 million at December 31, 2018 to $57.1 million as of March 31, 2019. This increase in equity of $4.2 million (8.0%) was due to other comprehensive income of $4.3 million partially offset by a net loss of $0.1 million. The other comprehensive income for the period was due to unrealized gains on fixed maturity securities available for sale.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Our principal sources of funds are from premium revenues, annuity deposits, investment income, and proceeds from the sale and maturity of investments. The Company’s primary uses of funds are for payment of life policy benefits, contractholder withdrawals on annuity contracts, new business acquisition costs for our insurance operations (commissions, underwriting, and issue costs), general operating expenses, and purchases of investments. Our investment portfolio is structured to provide funds periodically over time, through investment income and maturities, to provide for the payment of policy benefits and contractholder withdrawals.</w:t>
      </w:r>
    </w:p>
    <w:p>
      <w:pPr>
        <w:spacing w:after="0" w:line="188"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Based on our current business plan, we expect that projected cash flows from operations, as well as the net proceeds from the IPO, will provide us with sufficient liquidity to fund our anticipated growth for at least the next several years. However, if our growth exceeds our expectations or we have unanticipated capital requirements to support our growth, we may have to raise additional capital or take other steps to support our premium writings, including obtaining additional reinsurance. If we cannot obtain adequate capital or reinsurance on favorable terms or at all, we may be unable to support future growth or operating requirements and, as a result, our business, financial condition, and results of operations could be adversely affected.</w:t>
      </w:r>
    </w:p>
    <w:p>
      <w:pPr>
        <w:spacing w:after="0" w:line="17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are members of the Federal Home Loan Bank of Chicago (“FHLBC”). As a member, we are able to borrow on a collateralized basis from the FHLBC. We own FHLBC common stock with a book value of $10,000, which allows us to borrow from the FHLBC. Interest on borrowed funds is charged at variable or fixed rates established from time to time by the FHLBC based on the interest rate option selected at the time of the borrowing. There were no borrowings from FHLBC during either 2019 or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Federal Life’s ability to pay dividends to the Company is limited by the insurance laws of the State of Illinois. All shareholder dividends are subject to notice filings with the Illinois Insurance Director. The maximum amount of dividends that can be paid by Illinois life insurance companies to shareholders without 30 days prior notice to the director of the Illinois Department of Insurance is the greater of (i) statutory net income for the preceding year or (ii) 10% of statutory surplus as of the preceding year-end.</w:t>
      </w:r>
    </w:p>
    <w:p>
      <w:pPr>
        <w:spacing w:after="0" w:line="18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However, under Illinois insurance statutes, dividends may be paid only from surplus, excluding unrealized appreciation in value of investments, without prior approval. Dividends in excess of these amounts require advance approval of the Illinois Department of Insurance. There are no limitations on the amount of dividends that Federal Life’s subsidiaries can pay to Federal Life.</w:t>
      </w:r>
    </w:p>
    <w:p>
      <w:pPr>
        <w:spacing w:after="0" w:line="18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Federal Life is a party to service and cost sharing agreements with Americana and FED Mutual pursuant to which certain costs and expenses incurred by Federal Life on behalf of Americana and FED Mutual are allocated to such entities and paid to Federal Life. During the three month period ended March 31, 2019 and March 31, 2018, Americana paid $12,500 and FED Mutual paid $1,500 to Federal Life for such services. All related party transactions eliminate in consolidation.</w:t>
      </w:r>
    </w:p>
    <w:p>
      <w:pPr>
        <w:spacing w:after="0" w:line="18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Federal Life is also required to hold minimum levels of statutory capital and surplus to satisfy regulatory requirements. The minimum statutory capital and surplus required by the Compiled Statutes of Illinois was $1.5 million at March 31, 2019. Federal Life’s statutory capital and surplus at March 31, 2019 was $24.3 million.</w:t>
      </w:r>
    </w:p>
    <w:p>
      <w:pPr>
        <w:spacing w:after="0" w:line="18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In addition to the minimum statutory requirement, Federal Life is subject to risk-based capital (“RBC”) requirements adopted by state insurance regulators. A company’s “authorized control level RBC” is a measure of the amount of capital appropriate for an insurance company to support its overall business operations in light of its size, growth, and risk profile. RBC standards are used by regulators to determine appropriate regulatory actions for insurers that show signs of weak or deteriorating conditions. Companies that do not maintain total adjusted capital (“TAC”) in excess of the company’s “company action level RBC,” which is two times its “authorized control level RBC,” may be required to take specific actions at the direction of state insurance regulators. Federal Life’s TAC at December 31, 2018 of $27.3 million significantly exceeded its “company action level RBC,” which was $5.9 million at December 31, 2018.</w:t>
      </w:r>
    </w:p>
    <w:p>
      <w:pPr>
        <w:spacing w:after="0" w:line="18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As an Illinois domiciled holding company, Federal Life Holding Company is subject to the same minimum statutory capital and surplus levels as Federal Life. However, Federal Life Holding Company is not authorized to transact insurance business and cannot issue or reinsure insurance policies. Accordingly, the level of statutory capital and surplus at Federal Life Holding Company has no material effect on the ability of Federal Life to write insurance or on the Company’s consolidated results of operations, financial position, or liquidity. Although Federal Life Holding Company is subject to minimum capital and surplus requirements, it is not subject to RBC requirements. Our other operating subsidiaries are not subject to regulatory capital requirements or RBC.</w:t>
      </w:r>
    </w:p>
    <w:p>
      <w:pPr>
        <w:spacing w:after="0" w:line="19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For the three months ended March 31, 2019, we had a net decrease in cash of $3.4 million compared with a net decrease of $0.3 million for the three months ended March 31, 2018. The increase in the use of cash of $3.1 million compared with last year was due to an increase in net cash used in operating activities of $0.4 million, an increase in net cash used in investing activities of $2.3 million, and a decrease in net cash from proceeds from financing activities of $0.4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3 to our unaudited consolidated financial statements in this Form 10-Q, which are incorporated by reference in this Item 2.4.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reviewed and evaluated the effectiveness of the Company’s disclosure controls and procedures (as defined in Rules 13a-15(e) or 15d-15(e) under the Securities Act of 1934, as amended) as of March 31, 2019. These controls and procedures have been designed to ensure that information required to be disclosed by the Company in the reports that it files or submits under the Exchange Act is recorded, processed, summarized and reported within the time periods specified in the Commission’s rules and forms. Based on this evaluation, the Company’s management has concluded that our disclosure controls and procedures were not effective.</w:t>
      </w:r>
    </w:p>
    <w:p>
      <w:pPr>
        <w:spacing w:after="0" w:line="193" w:lineRule="exact"/>
        <w:rPr>
          <w:sz w:val="20"/>
          <w:szCs w:val="20"/>
          <w:color w:val="auto"/>
        </w:rPr>
      </w:pPr>
    </w:p>
    <w:p>
      <w:pPr>
        <w:ind w:right="280" w:firstLine="518"/>
        <w:spacing w:after="0" w:line="312" w:lineRule="auto"/>
        <w:rPr>
          <w:sz w:val="20"/>
          <w:szCs w:val="20"/>
          <w:color w:val="auto"/>
        </w:rPr>
      </w:pPr>
      <w:r>
        <w:rPr>
          <w:rFonts w:ascii="Arial" w:cs="Arial" w:eastAsia="Arial" w:hAnsi="Arial"/>
          <w:sz w:val="16"/>
          <w:szCs w:val="16"/>
          <w:color w:val="auto"/>
        </w:rPr>
        <w:t>During the first quarter of fiscal year 2019, we identified material weaknesses in our controls regarding presentation of the financial statements and related disclosure. Based upon that discovery, our Chief Executive Officer and Chief Financial Officer have concluded that our disclosure controls and procedures are not effective at a level that provides reasonable assurance of timely reporting as of the date this report is filed.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The material weaknesses in our disclosure controls and procedures resulted from failure to timely resolve questions regarding the inclusion and classification of certain information in the Company’s quarterly financial statements and related disclosure prior to the original required filing date for the Form 10-Q. Such questions were resolved prior to the actual filing date of this report.</w:t>
      </w:r>
    </w:p>
    <w:p>
      <w:pPr>
        <w:spacing w:after="0" w:line="18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Going forward the Company will continue to emphasize on-going training around financial reporting in GAAP and changes in public reporting company disclosure rules, and the skills and knowledge required for those performing financial reporting functions in public companies. We expect that the remediation of these material weaknesses will be completed prior to the filing of the Company’s quarterly report on Form 10-Q for the period ended June 30,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As noted above, we identified a material weakness in our disclosure controls and procedures regarding the inclusion and classification of certain information in the Company’s quarterly financial statements and related disclosure. Based on this material error the Company’s management concluded there was a reasonable possibility that a material misstatement of the Company’s financial statements would not be prevented or detected on a timely basis. Therefore, management concluded that its internal control over financial reporting was not effective as of March 31, 2019.</w:t>
      </w:r>
    </w:p>
    <w:p>
      <w:pPr>
        <w:spacing w:after="0" w:line="17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order to achieve effective internal controls over financial reporting, the Company will continue to emphasize on-going training around financial reporting in GAAP and changes in public company reporting disclosure rules, and the skills and knowledge required for those performing financial reporting functions in public companies. The Company’s management believes these steps will lead to an internal control process that is more efficient with regard to accounting and financial matters and expects that the remediation of this material weakness in internal control over financial reporting will be completed prior to the filing of the Company’s quarterly report on Form 10-Q for the period ended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We are, from time to time, involved in various legal proceedings in the ordinary course of business. While it is not possible to forecast the outcome of such legal proceedings, in light of existing insurance, reinsurance, and established reserves, we believe there is no individual case pending that is likely to have a material adverse effect on our financial condition or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80" w:type="dxa"/>
            <w:vAlign w:val="bottom"/>
          </w:tcPr>
          <w:p>
            <w:pPr>
              <w:spacing w:after="0"/>
              <w:rPr>
                <w:sz w:val="20"/>
                <w:szCs w:val="20"/>
                <w:color w:val="auto"/>
              </w:rPr>
            </w:pPr>
            <w:r>
              <w:rPr>
                <w:rFonts w:ascii="Arial" w:cs="Arial" w:eastAsia="Arial" w:hAnsi="Arial"/>
                <w:sz w:val="14"/>
                <w:szCs w:val="14"/>
                <w:color w:val="auto"/>
              </w:rPr>
              <w:t>Exhibit Number</w:t>
            </w:r>
          </w:p>
        </w:tc>
        <w:tc>
          <w:tcPr>
            <w:tcW w:w="10060" w:type="dxa"/>
            <w:vAlign w:val="bottom"/>
            <w:gridSpan w:val="7"/>
          </w:tcPr>
          <w:p>
            <w:pPr>
              <w:spacing w:after="0"/>
              <w:rPr>
                <w:sz w:val="20"/>
                <w:szCs w:val="20"/>
                <w:color w:val="auto"/>
              </w:rPr>
            </w:pPr>
            <w:r>
              <w:rPr>
                <w:rFonts w:ascii="Arial" w:cs="Arial" w:eastAsia="Arial" w:hAnsi="Arial"/>
                <w:sz w:val="14"/>
                <w:szCs w:val="14"/>
                <w:color w:val="auto"/>
              </w:rPr>
              <w:t>Exhibit Description</w:t>
            </w:r>
          </w:p>
        </w:tc>
      </w:tr>
      <w:tr>
        <w:trPr>
          <w:trHeight w:val="282"/>
        </w:trPr>
        <w:tc>
          <w:tcPr>
            <w:tcW w:w="1380" w:type="dxa"/>
            <w:vAlign w:val="bottom"/>
          </w:tcPr>
          <w:p>
            <w:pPr>
              <w:ind w:left="100"/>
              <w:spacing w:after="0"/>
              <w:rPr>
                <w:sz w:val="20"/>
                <w:szCs w:val="20"/>
                <w:color w:val="auto"/>
              </w:rPr>
            </w:pPr>
            <w:r>
              <w:rPr>
                <w:rFonts w:ascii="Arial" w:cs="Arial" w:eastAsia="Arial" w:hAnsi="Arial"/>
                <w:sz w:val="18"/>
                <w:szCs w:val="18"/>
                <w:color w:val="auto"/>
              </w:rPr>
              <w:t>31.1</w:t>
            </w:r>
          </w:p>
        </w:tc>
        <w:tc>
          <w:tcPr>
            <w:tcW w:w="95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Certification of Chief Executive Officer, pursuant to Rule 13a-14(a) and Rule 15d-14(a) of the Securities Exchange Act, as amended</w:t>
              </w:r>
            </w:hyperlink>
          </w:p>
        </w:tc>
        <w:tc>
          <w:tcPr>
            <w:tcW w:w="500" w:type="dxa"/>
            <w:vAlign w:val="bottom"/>
            <w:gridSpan w:val="3"/>
          </w:tcPr>
          <w:p>
            <w:pPr>
              <w:spacing w:after="0"/>
              <w:rPr>
                <w:sz w:val="24"/>
                <w:szCs w:val="24"/>
                <w:color w:val="auto"/>
              </w:rPr>
            </w:pPr>
          </w:p>
        </w:tc>
      </w:tr>
      <w:tr>
        <w:trPr>
          <w:trHeight w:val="331"/>
        </w:trPr>
        <w:tc>
          <w:tcPr>
            <w:tcW w:w="1380" w:type="dxa"/>
            <w:vAlign w:val="bottom"/>
          </w:tcPr>
          <w:p>
            <w:pPr>
              <w:ind w:left="100"/>
              <w:spacing w:after="0"/>
              <w:rPr>
                <w:sz w:val="20"/>
                <w:szCs w:val="20"/>
                <w:color w:val="auto"/>
              </w:rPr>
            </w:pPr>
            <w:r>
              <w:rPr>
                <w:rFonts w:ascii="Arial" w:cs="Arial" w:eastAsia="Arial" w:hAnsi="Arial"/>
                <w:sz w:val="18"/>
                <w:szCs w:val="18"/>
                <w:color w:val="auto"/>
              </w:rPr>
              <w:t>31.2</w:t>
            </w:r>
          </w:p>
        </w:tc>
        <w:tc>
          <w:tcPr>
            <w:tcW w:w="10060" w:type="dxa"/>
            <w:vAlign w:val="bottom"/>
            <w:gridSpan w:val="7"/>
          </w:tcPr>
          <w:p>
            <w:pPr>
              <w:spacing w:after="0"/>
              <w:rPr>
                <w:rFonts w:ascii="Arial" w:cs="Arial" w:eastAsia="Arial" w:hAnsi="Arial"/>
                <w:sz w:val="18"/>
                <w:szCs w:val="18"/>
                <w:color w:val="0000EE"/>
                <w:w w:val="96"/>
              </w:rPr>
            </w:pPr>
            <w:hyperlink w:anchor="page33">
              <w:r>
                <w:rPr>
                  <w:rFonts w:ascii="Arial" w:cs="Arial" w:eastAsia="Arial" w:hAnsi="Arial"/>
                  <w:sz w:val="18"/>
                  <w:szCs w:val="18"/>
                  <w:color w:val="0000EE"/>
                  <w:w w:val="96"/>
                </w:rPr>
                <w:t>Certification of Chief Financial Officer, pursuant to Rule 13a-14(a) and Rule 15d-14(a) of the Securities Exchange Act, as amended</w:t>
              </w:r>
            </w:hyperlink>
          </w:p>
        </w:tc>
      </w:tr>
      <w:tr>
        <w:trPr>
          <w:trHeight w:val="20"/>
        </w:trPr>
        <w:tc>
          <w:tcPr>
            <w:tcW w:w="1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1380" w:type="dxa"/>
            <w:vAlign w:val="bottom"/>
          </w:tcPr>
          <w:p>
            <w:pPr>
              <w:ind w:left="100"/>
              <w:spacing w:after="0"/>
              <w:rPr>
                <w:sz w:val="20"/>
                <w:szCs w:val="20"/>
                <w:color w:val="auto"/>
              </w:rPr>
            </w:pPr>
            <w:r>
              <w:rPr>
                <w:rFonts w:ascii="Arial" w:cs="Arial" w:eastAsia="Arial" w:hAnsi="Arial"/>
                <w:sz w:val="18"/>
                <w:szCs w:val="18"/>
                <w:color w:val="auto"/>
              </w:rPr>
              <w:t>32.1</w:t>
            </w:r>
          </w:p>
        </w:tc>
        <w:tc>
          <w:tcPr>
            <w:tcW w:w="97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Certification of Chief Executive Officer, pursuant to 18 U.S.C. Section 1350, as adopted pursuant to Section 906 of the Sarbanes-Oxley</w:t>
              </w:r>
            </w:hyperlink>
          </w:p>
        </w:tc>
        <w:tc>
          <w:tcPr>
            <w:tcW w:w="280" w:type="dxa"/>
            <w:vAlign w:val="bottom"/>
            <w:gridSpan w:val="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0060" w:type="dxa"/>
            <w:vAlign w:val="bottom"/>
            <w:gridSpan w:val="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Act of 2002</w:t>
              </w:r>
            </w:hyperlink>
          </w:p>
        </w:tc>
      </w:tr>
      <w:tr>
        <w:trPr>
          <w:trHeight w:val="20"/>
        </w:trPr>
        <w:tc>
          <w:tcPr>
            <w:tcW w:w="1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380" w:type="dxa"/>
            <w:vAlign w:val="bottom"/>
          </w:tcPr>
          <w:p>
            <w:pPr>
              <w:ind w:left="100"/>
              <w:spacing w:after="0"/>
              <w:rPr>
                <w:sz w:val="20"/>
                <w:szCs w:val="20"/>
                <w:color w:val="auto"/>
              </w:rPr>
            </w:pPr>
            <w:r>
              <w:rPr>
                <w:rFonts w:ascii="Arial" w:cs="Arial" w:eastAsia="Arial" w:hAnsi="Arial"/>
                <w:sz w:val="18"/>
                <w:szCs w:val="18"/>
                <w:color w:val="auto"/>
              </w:rPr>
              <w:t>32.2</w:t>
            </w:r>
          </w:p>
        </w:tc>
        <w:tc>
          <w:tcPr>
            <w:tcW w:w="10060" w:type="dxa"/>
            <w:vAlign w:val="bottom"/>
            <w:gridSpan w:val="7"/>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Certification of Chief Financial Officer, pursuant to 18 U.S.C. Section 1350, as adopted pursuant to Section 906 of the Sarbanes-Oxley Act</w:t>
              </w:r>
            </w:hyperlink>
          </w:p>
        </w:tc>
      </w:tr>
      <w:tr>
        <w:trPr>
          <w:trHeight w:val="196"/>
        </w:trPr>
        <w:tc>
          <w:tcPr>
            <w:tcW w:w="1380" w:type="dxa"/>
            <w:vAlign w:val="bottom"/>
          </w:tcPr>
          <w:p>
            <w:pPr>
              <w:spacing w:after="0"/>
              <w:rPr>
                <w:sz w:val="17"/>
                <w:szCs w:val="17"/>
                <w:color w:val="auto"/>
              </w:rPr>
            </w:pPr>
          </w:p>
        </w:tc>
        <w:tc>
          <w:tcPr>
            <w:tcW w:w="100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of 2002</w:t>
              </w:r>
            </w:hyperlink>
          </w:p>
        </w:tc>
        <w:tc>
          <w:tcPr>
            <w:tcW w:w="4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500" w:type="dxa"/>
            <w:vAlign w:val="bottom"/>
            <w:gridSpan w:val="6"/>
          </w:tcPr>
          <w:p>
            <w:pPr>
              <w:spacing w:after="0" w:line="20" w:lineRule="exact"/>
              <w:rPr>
                <w:sz w:val="1"/>
                <w:szCs w:val="1"/>
                <w:color w:val="auto"/>
              </w:rPr>
            </w:pPr>
          </w:p>
        </w:tc>
      </w:tr>
      <w:tr>
        <w:trPr>
          <w:trHeight w:val="372"/>
        </w:trPr>
        <w:tc>
          <w:tcPr>
            <w:tcW w:w="1380" w:type="dxa"/>
            <w:vAlign w:val="bottom"/>
          </w:tcPr>
          <w:p>
            <w:pPr>
              <w:spacing w:after="0"/>
              <w:rPr>
                <w:sz w:val="20"/>
                <w:szCs w:val="20"/>
                <w:color w:val="auto"/>
              </w:rPr>
            </w:pPr>
            <w:r>
              <w:rPr>
                <w:rFonts w:ascii="Arial" w:cs="Arial" w:eastAsia="Arial" w:hAnsi="Arial"/>
                <w:sz w:val="18"/>
                <w:szCs w:val="18"/>
                <w:color w:val="auto"/>
              </w:rPr>
              <w:t>101.INS</w:t>
            </w:r>
          </w:p>
        </w:tc>
        <w:tc>
          <w:tcPr>
            <w:tcW w:w="1006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351"/>
        </w:trPr>
        <w:tc>
          <w:tcPr>
            <w:tcW w:w="1380" w:type="dxa"/>
            <w:vAlign w:val="bottom"/>
          </w:tcPr>
          <w:p>
            <w:pPr>
              <w:spacing w:after="0"/>
              <w:rPr>
                <w:sz w:val="20"/>
                <w:szCs w:val="20"/>
                <w:color w:val="auto"/>
              </w:rPr>
            </w:pPr>
            <w:r>
              <w:rPr>
                <w:rFonts w:ascii="Arial" w:cs="Arial" w:eastAsia="Arial" w:hAnsi="Arial"/>
                <w:sz w:val="18"/>
                <w:szCs w:val="18"/>
                <w:color w:val="auto"/>
              </w:rPr>
              <w:t>101.SCH</w:t>
            </w:r>
          </w:p>
        </w:tc>
        <w:tc>
          <w:tcPr>
            <w:tcW w:w="1006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351"/>
        </w:trPr>
        <w:tc>
          <w:tcPr>
            <w:tcW w:w="1380" w:type="dxa"/>
            <w:vAlign w:val="bottom"/>
          </w:tcPr>
          <w:p>
            <w:pPr>
              <w:spacing w:after="0"/>
              <w:rPr>
                <w:sz w:val="20"/>
                <w:szCs w:val="20"/>
                <w:color w:val="auto"/>
              </w:rPr>
            </w:pPr>
            <w:r>
              <w:rPr>
                <w:rFonts w:ascii="Arial" w:cs="Arial" w:eastAsia="Arial" w:hAnsi="Arial"/>
                <w:sz w:val="18"/>
                <w:szCs w:val="18"/>
                <w:color w:val="auto"/>
              </w:rPr>
              <w:t>101.CAL</w:t>
            </w:r>
          </w:p>
        </w:tc>
        <w:tc>
          <w:tcPr>
            <w:tcW w:w="1006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51"/>
        </w:trPr>
        <w:tc>
          <w:tcPr>
            <w:tcW w:w="1380" w:type="dxa"/>
            <w:vAlign w:val="bottom"/>
          </w:tcPr>
          <w:p>
            <w:pPr>
              <w:spacing w:after="0"/>
              <w:rPr>
                <w:sz w:val="20"/>
                <w:szCs w:val="20"/>
                <w:color w:val="auto"/>
              </w:rPr>
            </w:pPr>
            <w:r>
              <w:rPr>
                <w:rFonts w:ascii="Arial" w:cs="Arial" w:eastAsia="Arial" w:hAnsi="Arial"/>
                <w:sz w:val="18"/>
                <w:szCs w:val="18"/>
                <w:color w:val="auto"/>
              </w:rPr>
              <w:t>101.DEF</w:t>
            </w:r>
          </w:p>
        </w:tc>
        <w:tc>
          <w:tcPr>
            <w:tcW w:w="1006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51"/>
        </w:trPr>
        <w:tc>
          <w:tcPr>
            <w:tcW w:w="1380" w:type="dxa"/>
            <w:vAlign w:val="bottom"/>
          </w:tcPr>
          <w:p>
            <w:pPr>
              <w:spacing w:after="0"/>
              <w:rPr>
                <w:sz w:val="20"/>
                <w:szCs w:val="20"/>
                <w:color w:val="auto"/>
              </w:rPr>
            </w:pPr>
            <w:r>
              <w:rPr>
                <w:rFonts w:ascii="Arial" w:cs="Arial" w:eastAsia="Arial" w:hAnsi="Arial"/>
                <w:sz w:val="18"/>
                <w:szCs w:val="18"/>
                <w:color w:val="auto"/>
              </w:rPr>
              <w:t>101.LAB</w:t>
            </w:r>
          </w:p>
        </w:tc>
        <w:tc>
          <w:tcPr>
            <w:tcW w:w="1006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51"/>
        </w:trPr>
        <w:tc>
          <w:tcPr>
            <w:tcW w:w="1380" w:type="dxa"/>
            <w:vAlign w:val="bottom"/>
          </w:tcPr>
          <w:p>
            <w:pPr>
              <w:spacing w:after="0"/>
              <w:rPr>
                <w:sz w:val="20"/>
                <w:szCs w:val="20"/>
                <w:color w:val="auto"/>
              </w:rPr>
            </w:pPr>
            <w:r>
              <w:rPr>
                <w:rFonts w:ascii="Arial" w:cs="Arial" w:eastAsia="Arial" w:hAnsi="Arial"/>
                <w:sz w:val="18"/>
                <w:szCs w:val="18"/>
                <w:color w:val="auto"/>
              </w:rPr>
              <w:t>101.PRE</w:t>
            </w:r>
          </w:p>
        </w:tc>
        <w:tc>
          <w:tcPr>
            <w:tcW w:w="1006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75"/>
        </w:trPr>
        <w:tc>
          <w:tcPr>
            <w:tcW w:w="1380" w:type="dxa"/>
            <w:vAlign w:val="bottom"/>
          </w:tcPr>
          <w:p>
            <w:pPr>
              <w:spacing w:after="0"/>
              <w:rPr>
                <w:sz w:val="24"/>
                <w:szCs w:val="24"/>
                <w:color w:val="auto"/>
              </w:rPr>
            </w:pPr>
          </w:p>
        </w:tc>
        <w:tc>
          <w:tcPr>
            <w:tcW w:w="9500" w:type="dxa"/>
            <w:vAlign w:val="bottom"/>
            <w:gridSpan w:val="3"/>
          </w:tcPr>
          <w:p>
            <w:pPr>
              <w:ind w:left="424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FEDERAL LIFE GROUP, INC.</w:t>
      </w:r>
    </w:p>
    <w:p>
      <w:pPr>
        <w:spacing w:after="0" w:line="2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Anders Raaum</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Anders Raaum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-130175</wp:posOffset>
            </wp:positionV>
            <wp:extent cx="21951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Chief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May 20, 2019</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800"/>
          </w:cols>
          <w:pgMar w:left="240" w:top="125" w:right="85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S. Austin, certify that:</w:t>
      </w:r>
    </w:p>
    <w:p>
      <w:pPr>
        <w:spacing w:after="0" w:line="117"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Life Group, Inc. (the "registrant");</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right="220" w:hanging="519"/>
        <w:spacing w:after="0" w:line="264" w:lineRule="auto"/>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right="540" w:hanging="519"/>
        <w:spacing w:after="0" w:line="342" w:lineRule="auto"/>
        <w:tabs>
          <w:tab w:leader="none" w:pos="10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evaluations; and</w:t>
      </w:r>
    </w:p>
    <w:p>
      <w:pPr>
        <w:spacing w:after="0" w:line="15" w:lineRule="exact"/>
        <w:rPr>
          <w:rFonts w:ascii="Arial" w:cs="Arial" w:eastAsia="Arial" w:hAnsi="Arial"/>
          <w:sz w:val="16"/>
          <w:szCs w:val="16"/>
          <w:color w:val="auto"/>
        </w:rPr>
      </w:pPr>
    </w:p>
    <w:p>
      <w:pPr>
        <w:jc w:val="both"/>
        <w:ind w:left="1040" w:right="240" w:hanging="519"/>
        <w:spacing w:after="0" w:line="342" w:lineRule="auto"/>
        <w:tabs>
          <w:tab w:leader="none" w:pos="10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5" w:lineRule="exact"/>
        <w:rPr>
          <w:rFonts w:ascii="Arial" w:cs="Arial" w:eastAsia="Arial" w:hAnsi="Arial"/>
          <w:sz w:val="16"/>
          <w:szCs w:val="16"/>
          <w:color w:val="auto"/>
        </w:rPr>
      </w:pPr>
    </w:p>
    <w:p>
      <w:pPr>
        <w:ind w:left="520" w:right="340" w:hanging="512"/>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1040" w:right="120" w:hanging="519"/>
        <w:spacing w:after="0" w:line="308" w:lineRule="auto"/>
        <w:tabs>
          <w:tab w:leader="none" w:pos="10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100" w:hanging="519"/>
        <w:spacing w:after="0" w:line="277" w:lineRule="auto"/>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20, 2019</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William S. Austin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William S.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Federal Life Group, Inc.</w:t>
      </w:r>
    </w:p>
    <w:p>
      <w:pPr>
        <w:sectPr>
          <w:pgSz w:w="11900" w:h="16838" w:orient="portrait"/>
          <w:cols w:equalWidth="0" w:num="1">
            <w:col w:w="11420"/>
          </w:cols>
          <w:pgMar w:left="240" w:top="337"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Anders Raaum, certify that:</w:t>
      </w:r>
    </w:p>
    <w:p>
      <w:pPr>
        <w:spacing w:after="0" w:line="117"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Life Group, Inc. (the "registrant");</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right="220" w:hanging="519"/>
        <w:spacing w:after="0" w:line="264"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right="540" w:hanging="519"/>
        <w:spacing w:after="0" w:line="342" w:lineRule="auto"/>
        <w:tabs>
          <w:tab w:leader="none" w:pos="10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evaluations; and</w:t>
      </w:r>
    </w:p>
    <w:p>
      <w:pPr>
        <w:spacing w:after="0" w:line="15" w:lineRule="exact"/>
        <w:rPr>
          <w:rFonts w:ascii="Arial" w:cs="Arial" w:eastAsia="Arial" w:hAnsi="Arial"/>
          <w:sz w:val="16"/>
          <w:szCs w:val="16"/>
          <w:color w:val="auto"/>
        </w:rPr>
      </w:pPr>
    </w:p>
    <w:p>
      <w:pPr>
        <w:jc w:val="both"/>
        <w:ind w:left="1040" w:right="240" w:hanging="519"/>
        <w:spacing w:after="0" w:line="342" w:lineRule="auto"/>
        <w:tabs>
          <w:tab w:leader="none" w:pos="10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5" w:lineRule="exact"/>
        <w:rPr>
          <w:rFonts w:ascii="Arial" w:cs="Arial" w:eastAsia="Arial" w:hAnsi="Arial"/>
          <w:sz w:val="16"/>
          <w:szCs w:val="16"/>
          <w:color w:val="auto"/>
        </w:rPr>
      </w:pPr>
    </w:p>
    <w:p>
      <w:pPr>
        <w:ind w:left="520" w:right="340" w:hanging="512"/>
        <w:spacing w:after="0" w:line="27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1040" w:right="120" w:hanging="519"/>
        <w:spacing w:after="0" w:line="308" w:lineRule="auto"/>
        <w:tabs>
          <w:tab w:leader="none" w:pos="10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100" w:hanging="519"/>
        <w:spacing w:after="0" w:line="277"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20, 2019</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Anders Raaum</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Anders Raaum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Federal Life Group, Inc.</w:t>
      </w:r>
    </w:p>
    <w:p>
      <w:pPr>
        <w:sectPr>
          <w:pgSz w:w="11900" w:h="16838" w:orient="portrait"/>
          <w:cols w:equalWidth="0" w:num="1">
            <w:col w:w="11420"/>
          </w:cols>
          <w:pgMar w:left="240" w:top="337"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Life Group,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officer of Federal Life Group, Inc. (“FLG”) certifies, to his knowledge and solely for the purposes of 18 U.S.C. Section 1350, as adopted pursuant to Section 906 of the Sarbanes-Oxley Act of 2002, that the Quarterly Report on Form 10-Q of FLG for the period ended March 31, 2019 fully complies with the requirements of Section 13(a) or 15(d) of the Securities Exchange Act of 1934 and that information contained in the Form 10-Q fairly presents, in all material respects, the financial condition and results of operations of FLG.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Dated: May 20, 2019</w:t>
            </w:r>
          </w:p>
        </w:tc>
        <w:tc>
          <w:tcPr>
            <w:tcW w:w="7500" w:type="dxa"/>
            <w:vAlign w:val="bottom"/>
            <w:gridSpan w:val="2"/>
          </w:tcPr>
          <w:p>
            <w:pPr>
              <w:ind w:left="2380"/>
              <w:spacing w:after="0"/>
              <w:rPr>
                <w:sz w:val="20"/>
                <w:szCs w:val="20"/>
                <w:color w:val="auto"/>
              </w:rPr>
            </w:pPr>
            <w:r>
              <w:rPr>
                <w:rFonts w:ascii="Arial" w:cs="Arial" w:eastAsia="Arial" w:hAnsi="Arial"/>
                <w:sz w:val="18"/>
                <w:szCs w:val="18"/>
                <w:color w:val="auto"/>
              </w:rPr>
              <w:t>By:  /s/ William S. Austin</w:t>
            </w:r>
          </w:p>
        </w:tc>
      </w:tr>
      <w:tr>
        <w:trPr>
          <w:trHeight w:val="195"/>
        </w:trPr>
        <w:tc>
          <w:tcPr>
            <w:tcW w:w="39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S. Austin</w:t>
            </w:r>
          </w:p>
        </w:tc>
      </w:tr>
      <w:tr>
        <w:trPr>
          <w:trHeight w:val="230"/>
        </w:trPr>
        <w:tc>
          <w:tcPr>
            <w:tcW w:w="39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Chief Executive Officer, Federal Life Group, Inc.</w:t>
            </w:r>
          </w:p>
        </w:tc>
      </w:tr>
    </w:tbl>
    <w:p>
      <w:pPr>
        <w:sectPr>
          <w:pgSz w:w="11900" w:h="16838" w:orient="portrait"/>
          <w:cols w:equalWidth="0" w:num="1">
            <w:col w:w="11420"/>
          </w:cols>
          <w:pgMar w:left="240" w:top="337"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Life Group,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officer of Federal Life Group, Inc. (“FLG”) certifies, to his knowledge and solely for the purposes of 18 U.S.C. Section 1350, as adopted pursuant to Section 906 of the Sarbanes-Oxley Act of 2002, that the Quarterly Report on Form 10-Q of FLG for the period ended March 31, 2019 fully complies with the requirements of Section 13(a) or 15(d) of the Securities Exchange Act of 1934 and that information contained in the Form 10-Q fairly presents, in all material respects, the financial condition and results of operations of FLG.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Dated: May 20, 2019</w:t>
            </w:r>
          </w:p>
        </w:tc>
        <w:tc>
          <w:tcPr>
            <w:tcW w:w="7500" w:type="dxa"/>
            <w:vAlign w:val="bottom"/>
            <w:gridSpan w:val="2"/>
          </w:tcPr>
          <w:p>
            <w:pPr>
              <w:ind w:left="2380"/>
              <w:spacing w:after="0"/>
              <w:rPr>
                <w:sz w:val="20"/>
                <w:szCs w:val="20"/>
                <w:color w:val="auto"/>
              </w:rPr>
            </w:pPr>
            <w:r>
              <w:rPr>
                <w:rFonts w:ascii="Arial" w:cs="Arial" w:eastAsia="Arial" w:hAnsi="Arial"/>
                <w:sz w:val="18"/>
                <w:szCs w:val="18"/>
                <w:color w:val="auto"/>
              </w:rPr>
              <w:t>By:  /s/ Anders Raaum</w:t>
            </w:r>
          </w:p>
        </w:tc>
      </w:tr>
      <w:tr>
        <w:trPr>
          <w:trHeight w:val="195"/>
        </w:trPr>
        <w:tc>
          <w:tcPr>
            <w:tcW w:w="39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Anders Raaum</w:t>
            </w:r>
          </w:p>
        </w:tc>
      </w:tr>
      <w:tr>
        <w:trPr>
          <w:trHeight w:val="230"/>
        </w:trPr>
        <w:tc>
          <w:tcPr>
            <w:tcW w:w="39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Chief Financial Officer, Federal Life Group, Inc.</w:t>
            </w: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3"/>
    </w:lvl>
  </w:abstractNum>
  <w:abstractNum w:abstractNumId="12">
    <w:nsid w:val="519B500D"/>
    <w:multiLevelType w:val="hybridMultilevel"/>
    <w:lvl w:ilvl="0">
      <w:lvlJc w:val="left"/>
      <w:lvlText w:val="%1."/>
      <w:numFmt w:val="decimal"/>
      <w:start w:val="8"/>
    </w:lvl>
  </w:abstractNum>
  <w:abstractNum w:abstractNumId="13">
    <w:nsid w:val="431BD7B7"/>
    <w:multiLevelType w:val="hybridMultilevel"/>
    <w:lvl w:ilvl="0">
      <w:lvlJc w:val="left"/>
      <w:lvlText w:val="%1."/>
      <w:numFmt w:val="decimal"/>
      <w:start w:val="9"/>
    </w:lvl>
  </w:abstractNum>
  <w:abstractNum w:abstractNumId="14">
    <w:nsid w:val="3F2DBA31"/>
    <w:multiLevelType w:val="hybridMultilevel"/>
    <w:lvl w:ilvl="0">
      <w:lvlJc w:val="left"/>
      <w:lvlText w:val="%1."/>
      <w:numFmt w:val="decimal"/>
      <w:start w:val="10"/>
    </w:lvl>
  </w:abstractNum>
  <w:abstractNum w:abstractNumId="15">
    <w:nsid w:val="7C83E458"/>
    <w:multiLevelType w:val="hybridMultilevel"/>
    <w:lvl w:ilvl="0">
      <w:lvlJc w:val="left"/>
      <w:lvlText w:val="%1."/>
      <w:numFmt w:val="decimal"/>
      <w:start w:val="11"/>
    </w:lvl>
  </w:abstractNum>
  <w:abstractNum w:abstractNumId="16">
    <w:nsid w:val="257130A3"/>
    <w:multiLevelType w:val="hybridMultilevel"/>
    <w:lvl w:ilvl="0">
      <w:lvlJc w:val="left"/>
      <w:lvlText w:val="%1."/>
      <w:numFmt w:val="decimal"/>
      <w:start w:val="13"/>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2019-12-28T11:45:27Z</dcterms:created>
  <dcterms:modified xsi:type="dcterms:W3CDTF">2019-12-28T11:45:27Z</dcterms:modified>
</cp:coreProperties>
</file>