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150495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169545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spacing w:after="0" w:line="239" w:lineRule="auto"/>
        <w:rPr>
          <w:sz w:val="20"/>
          <w:szCs w:val="20"/>
          <w:color w:val="auto"/>
        </w:rPr>
      </w:pPr>
      <w:r>
        <w:rPr>
          <w:rFonts w:ascii="Arial" w:cs="Arial" w:eastAsia="Arial" w:hAnsi="Arial"/>
          <w:sz w:val="22"/>
          <w:szCs w:val="22"/>
          <w:b w:val="1"/>
          <w:bCs w:val="1"/>
          <w:color w:val="auto"/>
        </w:rPr>
        <w:t>CERTIFICATION AND NOTICE OF TERMINATION OF REGISTRATION UNDER SECTION 12(g) OF THE SECURITIES EXCHANGE ACT OF 1934 OR SUSPENSION OF DUTY TO FILE REPORTS UNDER SECTIONS 13 AND 15(d) OF THE SECURITIES EXCHANGE ACT OF 1934.</w:t>
      </w:r>
    </w:p>
    <w:p>
      <w:pPr>
        <w:spacing w:after="0" w:line="194" w:lineRule="exact"/>
        <w:rPr>
          <w:sz w:val="24"/>
          <w:szCs w:val="24"/>
          <w:color w:val="auto"/>
        </w:rPr>
      </w:pPr>
    </w:p>
    <w:p>
      <w:pPr>
        <w:ind w:left="7600"/>
        <w:spacing w:after="0"/>
        <w:tabs>
          <w:tab w:leader="none" w:pos="9680" w:val="left"/>
        </w:tabs>
        <w:rPr>
          <w:sz w:val="20"/>
          <w:szCs w:val="20"/>
          <w:color w:val="auto"/>
        </w:rPr>
      </w:pPr>
      <w:r>
        <w:rPr>
          <w:rFonts w:ascii="Arial" w:cs="Arial" w:eastAsia="Arial" w:hAnsi="Arial"/>
          <w:sz w:val="18"/>
          <w:szCs w:val="18"/>
          <w:color w:val="auto"/>
        </w:rPr>
        <w:t>Commission File Number</w:t>
      </w:r>
      <w:r>
        <w:rPr>
          <w:sz w:val="20"/>
          <w:szCs w:val="20"/>
          <w:color w:val="auto"/>
        </w:rPr>
        <w:tab/>
      </w:r>
      <w:r>
        <w:rPr>
          <w:rFonts w:ascii="Arial" w:cs="Arial" w:eastAsia="Arial" w:hAnsi="Arial"/>
          <w:sz w:val="16"/>
          <w:szCs w:val="16"/>
          <w:color w:val="auto"/>
        </w:rPr>
        <w:t>001-38718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6047740</wp:posOffset>
            </wp:positionH>
            <wp:positionV relativeFrom="paragraph">
              <wp:posOffset>-10160</wp:posOffset>
            </wp:positionV>
            <wp:extent cx="9525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52500" cy="8890"/>
                    </a:xfrm>
                    <a:prstGeom prst="rect">
                      <a:avLst/>
                    </a:prstGeom>
                    <a:noFill/>
                  </pic:spPr>
                </pic:pic>
              </a:graphicData>
            </a:graphic>
          </wp:anchor>
        </w:drawing>
      </w:r>
    </w:p>
    <w:p>
      <w:pPr>
        <w:spacing w:after="0" w:line="176"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Federal Life Group, Inc.</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150495</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3750 West Deerfield Road</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Riverwoods, IL 60015</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(847) 520-1900</w:t>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19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Common Stock, par value $0.01 per share</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(Title of each class of securities covered by this Form)</w:t>
      </w:r>
    </w:p>
    <w:p>
      <w:pPr>
        <w:spacing w:after="0" w:line="19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None</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(Titles of all other classes of securities for which a duty to file reports under section 13(a) or 15(d) remains)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150495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33" w:lineRule="exact"/>
        <w:rPr>
          <w:sz w:val="24"/>
          <w:szCs w:val="24"/>
          <w:color w:val="auto"/>
        </w:rPr>
      </w:pPr>
    </w:p>
    <w:p>
      <w:pPr>
        <w:ind w:left="440"/>
        <w:spacing w:after="0"/>
        <w:rPr>
          <w:sz w:val="20"/>
          <w:szCs w:val="20"/>
          <w:color w:val="auto"/>
        </w:rPr>
      </w:pPr>
      <w:r>
        <w:rPr>
          <w:rFonts w:ascii="Arial" w:cs="Arial" w:eastAsia="Arial" w:hAnsi="Arial"/>
          <w:sz w:val="17"/>
          <w:szCs w:val="17"/>
          <w:color w:val="auto"/>
        </w:rPr>
        <w:t>Please place an X in the box(es) to designate the appropriate rule provision(s) relied upon to terminate or suspend the duty to file reports:</w:t>
      </w:r>
    </w:p>
    <w:p>
      <w:pPr>
        <w:spacing w:after="0" w:line="109" w:lineRule="exact"/>
        <w:rPr>
          <w:sz w:val="24"/>
          <w:szCs w:val="24"/>
          <w:color w:val="auto"/>
        </w:rPr>
      </w:pPr>
    </w:p>
    <w:tbl>
      <w:tblPr>
        <w:tblLayout w:type="fixed"/>
        <w:tblInd w:w="440" w:type="dxa"/>
        <w:tblCellMar>
          <w:top w:w="0" w:type="dxa"/>
          <w:left w:w="0" w:type="dxa"/>
          <w:bottom w:w="0" w:type="dxa"/>
          <w:right w:w="0" w:type="dxa"/>
        </w:tblCellMar>
      </w:tblPr>
      <w:tr>
        <w:trPr>
          <w:trHeight w:val="216"/>
        </w:trPr>
        <w:tc>
          <w:tcPr>
            <w:tcW w:w="5700" w:type="dxa"/>
            <w:vAlign w:val="bottom"/>
          </w:tcPr>
          <w:p>
            <w:pPr>
              <w:ind w:left="4200"/>
              <w:spacing w:after="0"/>
              <w:rPr>
                <w:sz w:val="20"/>
                <w:szCs w:val="20"/>
                <w:color w:val="auto"/>
              </w:rPr>
            </w:pPr>
            <w:r>
              <w:rPr>
                <w:rFonts w:ascii="Arial" w:cs="Arial" w:eastAsia="Arial" w:hAnsi="Arial"/>
                <w:sz w:val="18"/>
                <w:szCs w:val="18"/>
                <w:color w:val="auto"/>
              </w:rPr>
              <w:t>Rule 12g-4(a)(1)</w:t>
            </w:r>
          </w:p>
        </w:tc>
        <w:tc>
          <w:tcPr>
            <w:tcW w:w="100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r>
      <w:tr>
        <w:trPr>
          <w:trHeight w:val="216"/>
        </w:trPr>
        <w:tc>
          <w:tcPr>
            <w:tcW w:w="5700" w:type="dxa"/>
            <w:vAlign w:val="bottom"/>
          </w:tcPr>
          <w:p>
            <w:pPr>
              <w:ind w:left="4200"/>
              <w:spacing w:after="0"/>
              <w:rPr>
                <w:sz w:val="20"/>
                <w:szCs w:val="20"/>
                <w:color w:val="auto"/>
              </w:rPr>
            </w:pPr>
            <w:r>
              <w:rPr>
                <w:rFonts w:ascii="Arial" w:cs="Arial" w:eastAsia="Arial" w:hAnsi="Arial"/>
                <w:sz w:val="18"/>
                <w:szCs w:val="18"/>
                <w:color w:val="auto"/>
              </w:rPr>
              <w:t>Rule 12g-4(a)(2)</w:t>
            </w:r>
          </w:p>
        </w:tc>
        <w:tc>
          <w:tcPr>
            <w:tcW w:w="100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r>
      <w:tr>
        <w:trPr>
          <w:trHeight w:val="216"/>
        </w:trPr>
        <w:tc>
          <w:tcPr>
            <w:tcW w:w="5700" w:type="dxa"/>
            <w:vAlign w:val="bottom"/>
          </w:tcPr>
          <w:p>
            <w:pPr>
              <w:ind w:left="4200"/>
              <w:spacing w:after="0"/>
              <w:rPr>
                <w:sz w:val="20"/>
                <w:szCs w:val="20"/>
                <w:color w:val="auto"/>
              </w:rPr>
            </w:pPr>
            <w:r>
              <w:rPr>
                <w:rFonts w:ascii="Arial" w:cs="Arial" w:eastAsia="Arial" w:hAnsi="Arial"/>
                <w:sz w:val="18"/>
                <w:szCs w:val="18"/>
                <w:color w:val="auto"/>
                <w:w w:val="99"/>
              </w:rPr>
              <w:t>Rule 12h-3(b)(1)(i)</w:t>
            </w:r>
          </w:p>
        </w:tc>
        <w:tc>
          <w:tcPr>
            <w:tcW w:w="100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r>
      <w:tr>
        <w:trPr>
          <w:trHeight w:val="216"/>
        </w:trPr>
        <w:tc>
          <w:tcPr>
            <w:tcW w:w="5700" w:type="dxa"/>
            <w:vAlign w:val="bottom"/>
          </w:tcPr>
          <w:p>
            <w:pPr>
              <w:ind w:left="4200"/>
              <w:spacing w:after="0"/>
              <w:rPr>
                <w:sz w:val="20"/>
                <w:szCs w:val="20"/>
                <w:color w:val="auto"/>
              </w:rPr>
            </w:pPr>
            <w:r>
              <w:rPr>
                <w:rFonts w:ascii="Arial" w:cs="Arial" w:eastAsia="Arial" w:hAnsi="Arial"/>
                <w:sz w:val="18"/>
                <w:szCs w:val="18"/>
                <w:color w:val="auto"/>
                <w:w w:val="97"/>
              </w:rPr>
              <w:t>Rule 12h-3(b)(1)(ii)</w:t>
            </w:r>
          </w:p>
        </w:tc>
        <w:tc>
          <w:tcPr>
            <w:tcW w:w="100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r>
      <w:tr>
        <w:trPr>
          <w:trHeight w:val="216"/>
        </w:trPr>
        <w:tc>
          <w:tcPr>
            <w:tcW w:w="5700" w:type="dxa"/>
            <w:vAlign w:val="bottom"/>
          </w:tcPr>
          <w:p>
            <w:pPr>
              <w:ind w:left="4200"/>
              <w:spacing w:after="0"/>
              <w:rPr>
                <w:sz w:val="20"/>
                <w:szCs w:val="20"/>
                <w:color w:val="auto"/>
              </w:rPr>
            </w:pPr>
            <w:r>
              <w:rPr>
                <w:rFonts w:ascii="Arial" w:cs="Arial" w:eastAsia="Arial" w:hAnsi="Arial"/>
                <w:sz w:val="18"/>
                <w:szCs w:val="18"/>
                <w:color w:val="auto"/>
              </w:rPr>
              <w:t>Rule 15d-6</w:t>
            </w:r>
          </w:p>
        </w:tc>
        <w:tc>
          <w:tcPr>
            <w:tcW w:w="100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r>
      <w:tr>
        <w:trPr>
          <w:trHeight w:val="283"/>
        </w:trPr>
        <w:tc>
          <w:tcPr>
            <w:tcW w:w="5700" w:type="dxa"/>
            <w:vAlign w:val="bottom"/>
          </w:tcPr>
          <w:p>
            <w:pPr>
              <w:ind w:left="4200"/>
              <w:spacing w:after="0"/>
              <w:rPr>
                <w:sz w:val="20"/>
                <w:szCs w:val="20"/>
                <w:color w:val="auto"/>
              </w:rPr>
            </w:pPr>
            <w:r>
              <w:rPr>
                <w:rFonts w:ascii="Arial" w:cs="Arial" w:eastAsia="Arial" w:hAnsi="Arial"/>
                <w:sz w:val="18"/>
                <w:szCs w:val="18"/>
                <w:color w:val="auto"/>
              </w:rPr>
              <w:t>Rule 15d-22(b)</w:t>
            </w:r>
          </w:p>
        </w:tc>
        <w:tc>
          <w:tcPr>
            <w:tcW w:w="100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r>
      <w:tr>
        <w:trPr>
          <w:trHeight w:val="372"/>
        </w:trPr>
        <w:tc>
          <w:tcPr>
            <w:tcW w:w="5700" w:type="dxa"/>
            <w:vAlign w:val="bottom"/>
          </w:tcPr>
          <w:p>
            <w:pPr>
              <w:spacing w:after="0"/>
              <w:rPr>
                <w:sz w:val="20"/>
                <w:szCs w:val="20"/>
                <w:color w:val="auto"/>
              </w:rPr>
            </w:pPr>
            <w:r>
              <w:rPr>
                <w:rFonts w:ascii="Arial" w:cs="Arial" w:eastAsia="Arial" w:hAnsi="Arial"/>
                <w:sz w:val="18"/>
                <w:szCs w:val="18"/>
                <w:color w:val="auto"/>
                <w:w w:val="92"/>
              </w:rPr>
              <w:t>Approximate number of holders of record as of the certification or notice date:</w:t>
            </w:r>
          </w:p>
        </w:tc>
        <w:tc>
          <w:tcPr>
            <w:tcW w:w="10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220</w:t>
            </w:r>
          </w:p>
        </w:tc>
      </w:tr>
    </w:tbl>
    <w:p>
      <w:pPr>
        <w:spacing w:after="0" w:line="229" w:lineRule="exact"/>
        <w:rPr>
          <w:sz w:val="24"/>
          <w:szCs w:val="24"/>
          <w:color w:val="auto"/>
        </w:rPr>
      </w:pPr>
    </w:p>
    <w:p>
      <w:pPr>
        <w:ind w:right="180"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Federal Life Group, Inc. has caused this certification/notice to be signed on its behalf by the undersigned duly authorized person.</w:t>
      </w:r>
    </w:p>
    <w:p>
      <w:pPr>
        <w:spacing w:after="0" w:line="197"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Date: May 28, 2019</w:t>
            </w:r>
          </w:p>
        </w:tc>
        <w:tc>
          <w:tcPr>
            <w:tcW w:w="7200" w:type="dxa"/>
            <w:vAlign w:val="bottom"/>
            <w:gridSpan w:val="2"/>
          </w:tcPr>
          <w:p>
            <w:pPr>
              <w:ind w:left="2400"/>
              <w:spacing w:after="0"/>
              <w:rPr>
                <w:sz w:val="20"/>
                <w:szCs w:val="20"/>
                <w:color w:val="auto"/>
              </w:rPr>
            </w:pPr>
            <w:r>
              <w:rPr>
                <w:rFonts w:ascii="Arial" w:cs="Arial" w:eastAsia="Arial" w:hAnsi="Arial"/>
                <w:sz w:val="18"/>
                <w:szCs w:val="18"/>
                <w:color w:val="auto"/>
              </w:rPr>
              <w:t>By:  /s/ Willam S. Austin</w:t>
            </w:r>
          </w:p>
        </w:tc>
      </w:tr>
      <w:tr>
        <w:trPr>
          <w:trHeight w:val="195"/>
        </w:trPr>
        <w:tc>
          <w:tcPr>
            <w:tcW w:w="384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452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Name: Willam S. Austin</w:t>
            </w:r>
          </w:p>
        </w:tc>
      </w:tr>
      <w:tr>
        <w:trPr>
          <w:trHeight w:val="230"/>
        </w:trPr>
        <w:tc>
          <w:tcPr>
            <w:tcW w:w="38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4520" w:type="dxa"/>
            <w:vAlign w:val="bottom"/>
          </w:tcPr>
          <w:p>
            <w:pPr>
              <w:ind w:left="100"/>
              <w:spacing w:after="0"/>
              <w:rPr>
                <w:sz w:val="20"/>
                <w:szCs w:val="20"/>
                <w:color w:val="auto"/>
              </w:rPr>
            </w:pPr>
            <w:r>
              <w:rPr>
                <w:rFonts w:ascii="Arial" w:cs="Arial" w:eastAsia="Arial" w:hAnsi="Arial"/>
                <w:sz w:val="18"/>
                <w:szCs w:val="18"/>
                <w:color w:val="auto"/>
              </w:rPr>
              <w:t>Title:  President &amp; Chief Executive Officer</w:t>
            </w:r>
          </w:p>
        </w:tc>
      </w:tr>
    </w:tbl>
    <w:p>
      <w:pPr>
        <w:spacing w:after="0" w:line="202" w:lineRule="exact"/>
        <w:rPr>
          <w:sz w:val="24"/>
          <w:szCs w:val="24"/>
          <w:color w:val="auto"/>
        </w:rPr>
      </w:pPr>
    </w:p>
    <w:p>
      <w:pPr>
        <w:ind w:right="140"/>
        <w:spacing w:after="0" w:line="259" w:lineRule="auto"/>
        <w:rPr>
          <w:sz w:val="20"/>
          <w:szCs w:val="20"/>
          <w:color w:val="auto"/>
        </w:rPr>
      </w:pPr>
      <w:r>
        <w:rPr>
          <w:rFonts w:ascii="Arial" w:cs="Arial" w:eastAsia="Arial" w:hAnsi="Arial"/>
          <w:sz w:val="18"/>
          <w:szCs w:val="18"/>
          <w:color w:val="auto"/>
        </w:rPr>
        <w:t>Instruction: This form is required by Rules 12g-4, 12h-3, 15d-6 and 15d-22 of the General Rules and Regulations under the Securities Exchange Act of 1934. The registrant shall file with the Commission three copies of Form 15, one of which shall be manually signed. It may be signed by an officer of the registrant, by counsel or by any other duly authorized person. The name and title of the person signing the form shall be typed or printed under the signature.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93345</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136525</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sectPr>
      <w:pgSz w:w="11900" w:h="16838" w:orient="portrait"/>
      <w:cols w:equalWidth="0" w:num="1">
        <w:col w:w="11040"/>
      </w:cols>
      <w:pgMar w:left="440" w:top="368"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2019-12-02T11:02:00Z</dcterms:created>
  <dcterms:modified xsi:type="dcterms:W3CDTF">2019-12-02T11:02:00Z</dcterms:modified>
</cp:coreProperties>
</file>