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74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5103495</wp:posOffset>
            </wp:positionH>
            <wp:positionV relativeFrom="paragraph">
              <wp:posOffset>-130175</wp:posOffset>
            </wp:positionV>
            <wp:extent cx="181800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8005" cy="728980"/>
                    </a:xfrm>
                    <a:prstGeom prst="rect">
                      <a:avLst/>
                    </a:prstGeom>
                    <a:noFill/>
                  </pic:spPr>
                </pic:pic>
              </a:graphicData>
            </a:graphic>
          </wp:anchor>
        </w:drawing>
      </w:r>
    </w:p>
    <w:p>
      <w:pPr>
        <w:spacing w:after="0" w:line="3" w:lineRule="exact"/>
        <w:rPr>
          <w:sz w:val="24"/>
          <w:szCs w:val="24"/>
          <w:color w:val="auto"/>
        </w:rPr>
      </w:pPr>
    </w:p>
    <w:tbl>
      <w:tblPr>
        <w:tblLayout w:type="fixed"/>
        <w:tblInd w:w="8040" w:type="dxa"/>
        <w:tblCellMar>
          <w:top w:w="0" w:type="dxa"/>
          <w:left w:w="0" w:type="dxa"/>
          <w:bottom w:w="0" w:type="dxa"/>
          <w:right w:w="0" w:type="dxa"/>
        </w:tblCellMar>
      </w:tblPr>
      <w:tr>
        <w:trPr>
          <w:trHeight w:val="230"/>
        </w:trPr>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OMB Number:</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3235-0058</w:t>
            </w:r>
          </w:p>
        </w:tc>
      </w:tr>
      <w:tr>
        <w:trPr>
          <w:trHeight w:val="210"/>
        </w:trPr>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Expires: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October 31, 2018</w:t>
            </w:r>
          </w:p>
        </w:tc>
      </w:tr>
      <w:tr>
        <w:trPr>
          <w:trHeight w:val="195"/>
        </w:trPr>
        <w:tc>
          <w:tcPr>
            <w:tcW w:w="28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Estimated average burden</w:t>
            </w:r>
          </w:p>
        </w:tc>
      </w:tr>
      <w:tr>
        <w:trPr>
          <w:trHeight w:val="230"/>
        </w:trPr>
        <w:tc>
          <w:tcPr>
            <w:tcW w:w="1480" w:type="dxa"/>
            <w:vAlign w:val="bottom"/>
          </w:tcPr>
          <w:p>
            <w:pPr>
              <w:ind w:left="120"/>
              <w:spacing w:after="0"/>
              <w:rPr>
                <w:sz w:val="20"/>
                <w:szCs w:val="20"/>
                <w:color w:val="auto"/>
              </w:rPr>
            </w:pPr>
            <w:r>
              <w:rPr>
                <w:rFonts w:ascii="Arial" w:cs="Arial" w:eastAsia="Arial" w:hAnsi="Arial"/>
                <w:sz w:val="18"/>
                <w:szCs w:val="18"/>
                <w:color w:val="auto"/>
                <w:w w:val="86"/>
              </w:rPr>
              <w:t>hours per response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137160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180340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20"/>
        <w:spacing w:after="0"/>
        <w:rPr>
          <w:sz w:val="20"/>
          <w:szCs w:val="20"/>
          <w:color w:val="auto"/>
        </w:rPr>
      </w:pPr>
      <w:r>
        <w:rPr>
          <w:rFonts w:ascii="Arial" w:cs="Arial" w:eastAsia="Arial" w:hAnsi="Arial"/>
          <w:sz w:val="32"/>
          <w:szCs w:val="32"/>
          <w:b w:val="1"/>
          <w:bCs w:val="1"/>
          <w:color w:val="auto"/>
        </w:rPr>
        <w:t>SECURITIES AND EXCHANGE COMMISSION</w:t>
      </w:r>
    </w:p>
    <w:p>
      <w:pPr>
        <w:ind w:left="40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150495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2573655</wp:posOffset>
            </wp:positionH>
            <wp:positionV relativeFrom="paragraph">
              <wp:posOffset>178435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0900"/>
          </w:cols>
          <w:pgMar w:left="760" w:top="476" w:right="239" w:bottom="1440" w:gutter="0" w:footer="0" w:header="0"/>
        </w:sectPr>
      </w:pPr>
    </w:p>
    <w:p>
      <w:pPr>
        <w:spacing w:after="0" w:line="219"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409" w:lineRule="exact"/>
        <w:rPr>
          <w:sz w:val="24"/>
          <w:szCs w:val="24"/>
          <w:color w:val="auto"/>
        </w:rPr>
      </w:pPr>
    </w:p>
    <w:p>
      <w:pPr>
        <w:sectPr>
          <w:pgSz w:w="11900" w:h="16838" w:orient="portrait"/>
          <w:cols w:equalWidth="0" w:num="4">
            <w:col w:w="2460" w:space="360"/>
            <w:col w:w="2500" w:space="20"/>
            <w:col w:w="1440" w:space="100"/>
            <w:col w:w="4020"/>
          </w:cols>
          <w:pgMar w:left="760" w:top="476" w:right="239" w:bottom="1440" w:gutter="0" w:footer="0" w:header="0"/>
          <w:type w:val="continuous"/>
        </w:sectPr>
      </w:pPr>
    </w:p>
    <w:p>
      <w:pPr>
        <w:ind w:left="2820"/>
        <w:spacing w:after="0"/>
        <w:rPr>
          <w:sz w:val="20"/>
          <w:szCs w:val="20"/>
          <w:color w:val="auto"/>
        </w:rPr>
      </w:pPr>
      <w:r>
        <w:rPr>
          <w:rFonts w:ascii="Arial" w:cs="Arial" w:eastAsia="Arial" w:hAnsi="Arial"/>
          <w:sz w:val="18"/>
          <w:szCs w:val="18"/>
          <w:color w:val="auto"/>
        </w:rPr>
        <w:t>For Period Ended: March 31, 2019</w:t>
      </w:r>
    </w:p>
    <w:p>
      <w:pPr>
        <w:spacing w:after="0" w:line="171" w:lineRule="exact"/>
        <w:rPr>
          <w:sz w:val="24"/>
          <w:szCs w:val="24"/>
          <w:color w:val="auto"/>
        </w:rPr>
      </w:pPr>
    </w:p>
    <w:p>
      <w:pPr>
        <w:ind w:left="3060" w:hanging="250"/>
        <w:spacing w:after="0"/>
        <w:tabs>
          <w:tab w:leader="none" w:pos="3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3060" w:hanging="250"/>
        <w:spacing w:after="0"/>
        <w:tabs>
          <w:tab w:leader="none" w:pos="3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060" w:hanging="250"/>
        <w:spacing w:after="0"/>
        <w:tabs>
          <w:tab w:leader="none" w:pos="3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060" w:hanging="250"/>
        <w:spacing w:after="0"/>
        <w:tabs>
          <w:tab w:leader="none" w:pos="3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3060" w:hanging="250"/>
        <w:spacing w:after="0"/>
        <w:tabs>
          <w:tab w:leader="none" w:pos="3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55"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For the Transition Period Ended:</w:t>
      </w:r>
    </w:p>
    <w:p>
      <w:pPr>
        <w:spacing w:after="0" w:line="239" w:lineRule="exact"/>
        <w:rPr>
          <w:sz w:val="24"/>
          <w:szCs w:val="24"/>
          <w:color w:val="auto"/>
        </w:rPr>
      </w:pPr>
    </w:p>
    <w:p>
      <w:pPr>
        <w:jc w:val="center"/>
        <w:ind w:right="50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-130175</wp:posOffset>
            </wp:positionV>
            <wp:extent cx="72466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495300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302" w:lineRule="exact"/>
        <w:rPr>
          <w:sz w:val="24"/>
          <w:szCs w:val="24"/>
          <w:color w:val="auto"/>
        </w:rPr>
      </w:pPr>
    </w:p>
    <w:p>
      <w:pPr>
        <w:jc w:val="center"/>
        <w:ind w:right="500"/>
        <w:spacing w:after="0"/>
        <w:rPr>
          <w:sz w:val="20"/>
          <w:szCs w:val="20"/>
          <w:color w:val="auto"/>
        </w:rPr>
      </w:pPr>
      <w:r>
        <w:rPr>
          <w:rFonts w:ascii="Arial" w:cs="Arial" w:eastAsia="Arial" w:hAnsi="Arial"/>
          <w:sz w:val="47"/>
          <w:szCs w:val="47"/>
          <w:b w:val="1"/>
          <w:bCs w:val="1"/>
          <w:color w:val="auto"/>
        </w:rPr>
        <w:t>Federal Life Group, Inc.</w:t>
      </w:r>
    </w:p>
    <w:p>
      <w:pPr>
        <w:spacing w:after="0" w:line="40"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(Full Name of Registrant)</w:t>
      </w:r>
    </w:p>
    <w:p>
      <w:pPr>
        <w:spacing w:after="0" w:line="21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3750 West Deerfield Road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Riverwoods, Illinois 60015</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61595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76"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t>PART II — RULES 12b-25(b) AND (c)</w:t>
      </w:r>
    </w:p>
    <w:p>
      <w:pPr>
        <w:spacing w:after="0" w:line="17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57" w:lineRule="exact"/>
        <w:rPr>
          <w:sz w:val="20"/>
          <w:szCs w:val="20"/>
          <w:color w:val="auto"/>
        </w:rPr>
      </w:pPr>
    </w:p>
    <w:p>
      <w:pPr>
        <w:ind w:left="800" w:hanging="252"/>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57" w:lineRule="exact"/>
        <w:rPr>
          <w:rFonts w:ascii="Arial" w:cs="Arial" w:eastAsia="Arial" w:hAnsi="Arial"/>
          <w:sz w:val="18"/>
          <w:szCs w:val="18"/>
          <w:color w:val="auto"/>
        </w:rPr>
      </w:pPr>
    </w:p>
    <w:p>
      <w:pPr>
        <w:ind w:left="800" w:hanging="252"/>
        <w:spacing w:after="0"/>
        <w:tabs>
          <w:tab w:leader="none" w:pos="8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46" w:lineRule="exact"/>
        <w:rPr>
          <w:rFonts w:ascii="Arial" w:cs="Arial" w:eastAsia="Arial" w:hAnsi="Arial"/>
          <w:sz w:val="16"/>
          <w:szCs w:val="16"/>
          <w:color w:val="auto"/>
        </w:rPr>
      </w:pPr>
    </w:p>
    <w:p>
      <w:pPr>
        <w:ind w:left="800" w:right="220" w:hanging="616"/>
        <w:spacing w:after="0" w:line="201" w:lineRule="auto"/>
        <w:tabs>
          <w:tab w:leader="none" w:pos="8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34" w:lineRule="exact"/>
        <w:rPr>
          <w:rFonts w:ascii="MS PGothic" w:cs="MS PGothic" w:eastAsia="MS PGothic" w:hAnsi="MS PGothic"/>
          <w:sz w:val="36"/>
          <w:szCs w:val="36"/>
          <w:color w:val="auto"/>
          <w:vertAlign w:val="subscript"/>
        </w:rPr>
      </w:pPr>
    </w:p>
    <w:p>
      <w:pPr>
        <w:ind w:left="800" w:hanging="252"/>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-996315</wp:posOffset>
            </wp:positionV>
            <wp:extent cx="8890" cy="1012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012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 — NARRATIVE</w:t>
      </w:r>
    </w:p>
    <w:p>
      <w:pPr>
        <w:spacing w:after="0" w:line="17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Federal Life Group, Inc. is unable to file its Form 10-Q for the quarterly period ended March 31, 2019, within the prescribed time period because it is awaiting completion of its independent auditor’s review of its quarterly financial statements. For the foregoing reason, the registrant requires additional time to file its Form 10-Q. Because the financial information to be included in the Form 10-Q is unaudited, no opinion, report or certification will be provided by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Anders Raaum</w:t>
            </w:r>
          </w:p>
        </w:tc>
        <w:tc>
          <w:tcPr>
            <w:tcW w:w="2160" w:type="dxa"/>
            <w:vAlign w:val="bottom"/>
          </w:tcPr>
          <w:p>
            <w:pPr>
              <w:jc w:val="right"/>
              <w:ind w:right="879"/>
              <w:spacing w:after="0"/>
              <w:rPr>
                <w:sz w:val="20"/>
                <w:szCs w:val="20"/>
                <w:color w:val="auto"/>
              </w:rPr>
            </w:pPr>
            <w:r>
              <w:rPr>
                <w:rFonts w:ascii="Arial" w:cs="Arial" w:eastAsia="Arial" w:hAnsi="Arial"/>
                <w:sz w:val="18"/>
                <w:szCs w:val="18"/>
                <w:b w:val="1"/>
                <w:bCs w:val="1"/>
                <w:color w:val="auto"/>
              </w:rPr>
              <w:t>847</w:t>
            </w:r>
          </w:p>
        </w:tc>
        <w:tc>
          <w:tcPr>
            <w:tcW w:w="500" w:type="dxa"/>
            <w:vAlign w:val="bottom"/>
          </w:tcPr>
          <w:p>
            <w:pPr>
              <w:spacing w:after="0"/>
              <w:rPr>
                <w:sz w:val="20"/>
                <w:szCs w:val="20"/>
                <w:color w:val="auto"/>
              </w:rPr>
            </w:pPr>
          </w:p>
        </w:tc>
        <w:tc>
          <w:tcPr>
            <w:tcW w:w="3660" w:type="dxa"/>
            <w:vAlign w:val="bottom"/>
          </w:tcPr>
          <w:p>
            <w:pPr>
              <w:jc w:val="right"/>
              <w:ind w:right="1419"/>
              <w:spacing w:after="0"/>
              <w:rPr>
                <w:sz w:val="20"/>
                <w:szCs w:val="20"/>
                <w:color w:val="auto"/>
              </w:rPr>
            </w:pPr>
            <w:r>
              <w:rPr>
                <w:rFonts w:ascii="Arial" w:cs="Arial" w:eastAsia="Arial" w:hAnsi="Arial"/>
                <w:sz w:val="18"/>
                <w:szCs w:val="18"/>
                <w:b w:val="1"/>
                <w:bCs w:val="1"/>
                <w:color w:val="auto"/>
              </w:rPr>
              <w:t>520-1900</w:t>
            </w:r>
          </w:p>
        </w:tc>
      </w:tr>
      <w:tr>
        <w:trPr>
          <w:trHeight w:val="18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(Name)</w:t>
            </w:r>
          </w:p>
        </w:tc>
        <w:tc>
          <w:tcPr>
            <w:tcW w:w="500" w:type="dxa"/>
            <w:vAlign w:val="bottom"/>
          </w:tcPr>
          <w:p>
            <w:pPr>
              <w:spacing w:after="0"/>
              <w:rPr>
                <w:sz w:val="15"/>
                <w:szCs w:val="15"/>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(Area Code)</w:t>
            </w:r>
          </w:p>
        </w:tc>
        <w:tc>
          <w:tcPr>
            <w:tcW w:w="5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(Telephone Number)</w:t>
            </w:r>
          </w:p>
        </w:tc>
      </w:tr>
    </w:tbl>
    <w:p>
      <w:pPr>
        <w:spacing w:after="0" w:line="178" w:lineRule="exact"/>
        <w:rPr>
          <w:sz w:val="20"/>
          <w:szCs w:val="20"/>
          <w:color w:val="auto"/>
        </w:rPr>
      </w:pPr>
    </w:p>
    <w:p>
      <w:pPr>
        <w:ind w:left="520" w:hanging="506"/>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w:t>
      </w:r>
    </w:p>
    <w:p>
      <w:pPr>
        <w:spacing w:after="0" w:line="46" w:lineRule="exact"/>
        <w:rPr>
          <w:sz w:val="20"/>
          <w:szCs w:val="20"/>
          <w:color w:val="auto"/>
        </w:rPr>
      </w:pPr>
    </w:p>
    <w:p>
      <w:pPr>
        <w:ind w:left="520"/>
        <w:spacing w:after="0" w:line="226" w:lineRule="exact"/>
        <w:rPr>
          <w:sz w:val="20"/>
          <w:szCs w:val="20"/>
          <w:color w:val="auto"/>
        </w:rPr>
      </w:pPr>
      <w:r>
        <w:rPr>
          <w:rFonts w:ascii="Arial" w:cs="Arial" w:eastAsia="Arial" w:hAnsi="Arial"/>
          <w:sz w:val="18"/>
          <w:szCs w:val="18"/>
          <w:color w:val="auto"/>
        </w:rPr>
        <w:t xml:space="preserve">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8" w:lineRule="exact"/>
        <w:rPr>
          <w:sz w:val="20"/>
          <w:szCs w:val="20"/>
          <w:color w:val="auto"/>
        </w:rPr>
      </w:pPr>
    </w:p>
    <w:p>
      <w:pPr>
        <w:ind w:left="520" w:hanging="506"/>
        <w:spacing w:after="0"/>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 it anticipated that any significant change in results of operations from the corresponding period for the last fiscal year will be reflected by the</w:t>
      </w:r>
    </w:p>
    <w:p>
      <w:pPr>
        <w:spacing w:after="0" w:line="30" w:lineRule="exact"/>
        <w:rPr>
          <w:sz w:val="20"/>
          <w:szCs w:val="20"/>
          <w:color w:val="auto"/>
        </w:rPr>
      </w:pPr>
    </w:p>
    <w:p>
      <w:pPr>
        <w:ind w:left="520"/>
        <w:spacing w:after="0" w:line="207" w:lineRule="exact"/>
        <w:tabs>
          <w:tab w:leader="none" w:pos="6040"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16"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Federal Life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80" w:val="left"/>
          <w:tab w:leader="none" w:pos="6060" w:val="left"/>
          <w:tab w:leader="none" w:pos="6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May 16,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Anders Raaum</w:t>
      </w:r>
    </w:p>
    <w:p>
      <w:pPr>
        <w:spacing w:after="0" w:line="200" w:lineRule="exact"/>
        <w:rPr>
          <w:sz w:val="20"/>
          <w:szCs w:val="20"/>
          <w:color w:val="auto"/>
        </w:rPr>
      </w:pPr>
    </w:p>
    <w:p>
      <w:pPr>
        <w:spacing w:after="0" w:line="26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-127635</wp:posOffset>
            </wp:positionV>
            <wp:extent cx="7246620"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2019-12-02T18:46:46Z</dcterms:created>
  <dcterms:modified xsi:type="dcterms:W3CDTF">2019-12-02T18:46:46Z</dcterms:modified>
</cp:coreProperties>
</file>