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5461000</wp:posOffset>
            </wp:positionH>
            <wp:positionV relativeFrom="paragraph">
              <wp:posOffset>-130175</wp:posOffset>
            </wp:positionV>
            <wp:extent cx="155194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728980"/>
                    </a:xfrm>
                    <a:prstGeom prst="rect">
                      <a:avLst/>
                    </a:prstGeom>
                    <a:noFill/>
                  </pic:spPr>
                </pic:pic>
              </a:graphicData>
            </a:graphic>
          </wp:anchor>
        </w:drawing>
      </w:r>
    </w:p>
    <w:p>
      <w:pPr>
        <w:spacing w:after="0" w:line="3" w:lineRule="exact"/>
        <w:rPr>
          <w:sz w:val="24"/>
          <w:szCs w:val="24"/>
          <w:color w:val="auto"/>
        </w:rPr>
      </w:pPr>
    </w:p>
    <w:tbl>
      <w:tblPr>
        <w:tblLayout w:type="fixed"/>
        <w:tblInd w:w="8600" w:type="dxa"/>
        <w:tblCellMar>
          <w:top w:w="0" w:type="dxa"/>
          <w:left w:w="0" w:type="dxa"/>
          <w:bottom w:w="0" w:type="dxa"/>
          <w:right w:w="0" w:type="dxa"/>
        </w:tblCellMar>
      </w:tblPr>
      <w:tr>
        <w:trPr>
          <w:trHeight w:val="230"/>
        </w:trPr>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OMB Number: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3235-0080</w:t>
            </w:r>
          </w:p>
        </w:tc>
      </w:tr>
      <w:tr>
        <w:trPr>
          <w:trHeight w:val="210"/>
        </w:trPr>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Expires: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 2021</w:t>
            </w:r>
          </w:p>
        </w:tc>
      </w:tr>
      <w:tr>
        <w:trPr>
          <w:trHeight w:val="195"/>
        </w:trPr>
        <w:tc>
          <w:tcPr>
            <w:tcW w:w="244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Estimated average burden</w:t>
            </w:r>
          </w:p>
        </w:tc>
      </w:tr>
      <w:tr>
        <w:trPr>
          <w:trHeight w:val="230"/>
        </w:trPr>
        <w:tc>
          <w:tcPr>
            <w:tcW w:w="1560" w:type="dxa"/>
            <w:vAlign w:val="bottom"/>
            <w:gridSpan w:val="2"/>
          </w:tcPr>
          <w:p>
            <w:pPr>
              <w:ind w:left="160"/>
              <w:spacing w:after="0"/>
              <w:rPr>
                <w:sz w:val="20"/>
                <w:szCs w:val="20"/>
                <w:color w:val="auto"/>
              </w:rPr>
            </w:pPr>
            <w:r>
              <w:rPr>
                <w:rFonts w:ascii="Arial" w:cs="Arial" w:eastAsia="Arial" w:hAnsi="Arial"/>
                <w:sz w:val="18"/>
                <w:szCs w:val="18"/>
                <w:color w:val="auto"/>
                <w:w w:val="88"/>
              </w:rPr>
              <w:t>hours per response</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111760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NOTIFICATION OF REMOVAL FROM LISTING</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AND/OR REGISTRATION UNDER SECTION 12(b)</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223520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Life Group,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The Nasdaq Stock Market LLC</w:t>
      </w:r>
    </w:p>
    <w:p>
      <w:pPr>
        <w:jc w:val="center"/>
        <w:ind w:right="20"/>
        <w:spacing w:after="0"/>
        <w:rPr>
          <w:sz w:val="20"/>
          <w:szCs w:val="20"/>
          <w:color w:val="auto"/>
        </w:rPr>
      </w:pPr>
      <w:r>
        <w:rPr>
          <w:rFonts w:ascii="Arial" w:cs="Arial" w:eastAsia="Arial" w:hAnsi="Arial"/>
          <w:sz w:val="18"/>
          <w:szCs w:val="18"/>
          <w:b w:val="1"/>
          <w:bCs w:val="1"/>
          <w:color w:val="auto"/>
        </w:rPr>
        <w:t>(Exact name of Issuer as specified in its charter, and name of Exchange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220345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3750 West Deerfield Road, Riverwoods, IL 60015 (847) 520-1900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Issuer’s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130" w:lineRule="exact"/>
        <w:rPr>
          <w:rFonts w:ascii="MS PGothic" w:cs="MS PGothic" w:eastAsia="MS PGothic" w:hAnsi="MS PGothic"/>
          <w:sz w:val="18"/>
          <w:szCs w:val="18"/>
          <w:color w:val="auto"/>
        </w:rPr>
      </w:pPr>
    </w:p>
    <w:p>
      <w:pPr>
        <w:ind w:left="440" w:right="740" w:hanging="436"/>
        <w:spacing w:after="0" w:line="277"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15"/>
          <w:szCs w:val="15"/>
          <w:color w:val="auto"/>
        </w:rPr>
        <w:t>1</w:t>
      </w:r>
    </w:p>
    <w:p>
      <w:pPr>
        <w:spacing w:after="0" w:line="76" w:lineRule="exact"/>
        <w:rPr>
          <w:sz w:val="24"/>
          <w:szCs w:val="24"/>
          <w:color w:val="auto"/>
        </w:rPr>
      </w:pPr>
    </w:p>
    <w:p>
      <w:pPr>
        <w:ind w:left="440" w:right="660" w:hanging="436"/>
        <w:spacing w:after="0" w:line="277" w:lineRule="auto"/>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Pursuant to the requirements of the Securities Exchange Act of 1934, Federal Life Group, Inc. certifies that it has reasonable grounds to believe that it meets all of the requirements for filing the Form 25 and has caused this notification to be signed on its behalf by the undersigned duly authorized person.</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April 4, 2019</w:t>
            </w:r>
          </w:p>
        </w:tc>
        <w:tc>
          <w:tcPr>
            <w:tcW w:w="900" w:type="dxa"/>
            <w:vAlign w:val="bottom"/>
          </w:tcPr>
          <w:p>
            <w:pPr>
              <w:ind w:left="58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William S. Austin</w:t>
            </w:r>
          </w:p>
        </w:tc>
        <w:tc>
          <w:tcPr>
            <w:tcW w:w="32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President &amp; Chief Executive Officer</w:t>
            </w:r>
          </w:p>
        </w:tc>
      </w:tr>
      <w:tr>
        <w:trPr>
          <w:trHeight w:val="180"/>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694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4"/>
          <w:szCs w:val="24"/>
          <w:color w:val="auto"/>
        </w:rPr>
      </w:pPr>
    </w:p>
    <w:p>
      <w:pPr>
        <w:ind w:left="220" w:hanging="216"/>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7"/>
          <w:szCs w:val="17"/>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47" w:right="41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SEC 1654 (03-06)</w:t>
      </w:r>
    </w:p>
    <w:sectPr>
      <w:pgSz w:w="11900" w:h="16838" w:orient="portrait"/>
      <w:cols w:equalWidth="0" w:num="1">
        <w:col w:w="11040"/>
      </w:cols>
      <w:pgMar w:left="440" w:top="247"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2019-12-03T16:41:31Z</dcterms:created>
  <dcterms:modified xsi:type="dcterms:W3CDTF">2019-12-03T16:41:31Z</dcterms:modified>
</cp:coreProperties>
</file>